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56C04" w14:textId="18A9B170" w:rsidR="00197029" w:rsidRPr="00F83384" w:rsidRDefault="00C4440F" w:rsidP="00F83384">
      <w:pPr>
        <w:spacing w:after="240" w:line="240" w:lineRule="auto"/>
        <w:jc w:val="center"/>
        <w:rPr>
          <w:rFonts w:cstheme="minorHAnsi"/>
          <w:b/>
          <w:bCs/>
          <w:sz w:val="28"/>
          <w:szCs w:val="28"/>
        </w:rPr>
      </w:pPr>
      <w:r w:rsidRPr="00F83384">
        <w:rPr>
          <w:rFonts w:cstheme="minorHAnsi"/>
          <w:b/>
          <w:bCs/>
          <w:sz w:val="28"/>
          <w:szCs w:val="28"/>
        </w:rPr>
        <w:t xml:space="preserve">Exhibit </w:t>
      </w:r>
      <w:r w:rsidR="00B1325A">
        <w:rPr>
          <w:rFonts w:cstheme="minorHAnsi"/>
          <w:b/>
          <w:bCs/>
          <w:sz w:val="28"/>
          <w:szCs w:val="28"/>
        </w:rPr>
        <w:t>5</w:t>
      </w:r>
    </w:p>
    <w:p w14:paraId="36A124B3" w14:textId="358F7D94" w:rsidR="00C4440F" w:rsidRDefault="00C4440F" w:rsidP="00F83384">
      <w:pPr>
        <w:spacing w:after="240" w:line="240" w:lineRule="auto"/>
        <w:jc w:val="center"/>
        <w:rPr>
          <w:rFonts w:cstheme="minorHAnsi"/>
          <w:b/>
          <w:bCs/>
          <w:sz w:val="28"/>
          <w:szCs w:val="28"/>
        </w:rPr>
      </w:pPr>
      <w:r w:rsidRPr="00F83384">
        <w:rPr>
          <w:rFonts w:cstheme="minorHAnsi"/>
          <w:b/>
          <w:bCs/>
          <w:sz w:val="28"/>
          <w:szCs w:val="28"/>
        </w:rPr>
        <w:t>Disclosures</w:t>
      </w:r>
    </w:p>
    <w:p w14:paraId="5CD17600" w14:textId="62AE0763" w:rsidR="00C774C6" w:rsidRPr="002B08CF" w:rsidRDefault="001A2132" w:rsidP="0009532B">
      <w:pPr>
        <w:spacing w:after="240" w:line="240" w:lineRule="auto"/>
        <w:jc w:val="both"/>
        <w:rPr>
          <w:rFonts w:cstheme="minorHAnsi"/>
        </w:rPr>
      </w:pPr>
      <w:r w:rsidRPr="002B08CF">
        <w:rPr>
          <w:rFonts w:cstheme="minorHAnsi"/>
        </w:rPr>
        <w:t xml:space="preserve">Investment Consultant </w:t>
      </w:r>
      <w:r w:rsidR="0075156C" w:rsidRPr="002B08CF">
        <w:rPr>
          <w:rFonts w:cstheme="minorHAnsi"/>
        </w:rPr>
        <w:t>c</w:t>
      </w:r>
      <w:r w:rsidR="00C774C6" w:rsidRPr="002B08CF">
        <w:rPr>
          <w:rFonts w:cstheme="minorHAnsi"/>
        </w:rPr>
        <w:t>andidates are required to provide complete disclosure of each of the following:</w:t>
      </w:r>
    </w:p>
    <w:p w14:paraId="54001467" w14:textId="2CBEBB5E" w:rsidR="00C4440F" w:rsidRPr="002B08CF" w:rsidRDefault="00C4440F" w:rsidP="0009532B">
      <w:pPr>
        <w:pStyle w:val="ListParagraph"/>
        <w:numPr>
          <w:ilvl w:val="0"/>
          <w:numId w:val="1"/>
        </w:numPr>
        <w:spacing w:after="240" w:line="240" w:lineRule="auto"/>
        <w:ind w:hanging="540"/>
        <w:contextualSpacing w:val="0"/>
        <w:jc w:val="both"/>
        <w:rPr>
          <w:rFonts w:cstheme="minorHAnsi"/>
        </w:rPr>
      </w:pPr>
      <w:r w:rsidRPr="002B08CF">
        <w:rPr>
          <w:rFonts w:cstheme="minorHAnsi"/>
        </w:rPr>
        <w:t xml:space="preserve">Pursuant to Section </w:t>
      </w:r>
      <w:r w:rsidR="00CF14E4" w:rsidRPr="002B08CF">
        <w:rPr>
          <w:rFonts w:cstheme="minorHAnsi"/>
        </w:rPr>
        <w:t>1-</w:t>
      </w:r>
      <w:r w:rsidRPr="002B08CF">
        <w:rPr>
          <w:rFonts w:cstheme="minorHAnsi"/>
        </w:rPr>
        <w:t>113.14(c)(3) and (12) of the Illinois Pension Code, the method for charging and measuring fees</w:t>
      </w:r>
      <w:r w:rsidRPr="002B08CF">
        <w:rPr>
          <w:rFonts w:eastAsia="Times New Roman" w:cstheme="minorHAnsi"/>
        </w:rPr>
        <w:t>,</w:t>
      </w:r>
      <w:r w:rsidRPr="002B08CF">
        <w:rPr>
          <w:rFonts w:cstheme="minorHAnsi"/>
        </w:rPr>
        <w:t xml:space="preserve"> including disclosure of the direct and indirect fees, commissions, penalties, and other compensation, including reimbursement for expenses, that may be paid by or on behalf of the Investment </w:t>
      </w:r>
      <w:r w:rsidR="00FE2346" w:rsidRPr="002B08CF">
        <w:rPr>
          <w:rFonts w:cstheme="minorHAnsi"/>
        </w:rPr>
        <w:t>Consultant</w:t>
      </w:r>
      <w:r w:rsidRPr="002B08CF">
        <w:rPr>
          <w:rFonts w:cstheme="minorHAnsi"/>
        </w:rPr>
        <w:t xml:space="preserve"> in connection with the provision of Investment Services to the </w:t>
      </w:r>
      <w:proofErr w:type="gramStart"/>
      <w:r w:rsidRPr="002B08CF">
        <w:rPr>
          <w:rFonts w:cstheme="minorHAnsi"/>
        </w:rPr>
        <w:t>IPOPIF;</w:t>
      </w:r>
      <w:proofErr w:type="gramEnd"/>
    </w:p>
    <w:p w14:paraId="11D727BE" w14:textId="661DD16E" w:rsidR="00C4440F" w:rsidRPr="002B08CF" w:rsidRDefault="00C4440F" w:rsidP="0009532B">
      <w:pPr>
        <w:pStyle w:val="ListParagraph"/>
        <w:numPr>
          <w:ilvl w:val="0"/>
          <w:numId w:val="1"/>
        </w:numPr>
        <w:spacing w:after="240" w:line="240" w:lineRule="auto"/>
        <w:ind w:hanging="540"/>
        <w:contextualSpacing w:val="0"/>
        <w:jc w:val="both"/>
        <w:rPr>
          <w:rFonts w:cstheme="minorHAnsi"/>
        </w:rPr>
      </w:pPr>
      <w:r w:rsidRPr="002B08CF">
        <w:rPr>
          <w:rFonts w:cstheme="minorHAnsi"/>
        </w:rPr>
        <w:t xml:space="preserve">Pursuant to Section </w:t>
      </w:r>
      <w:r w:rsidR="00CF14E4" w:rsidRPr="002B08CF">
        <w:rPr>
          <w:rFonts w:cstheme="minorHAnsi"/>
        </w:rPr>
        <w:t>1-</w:t>
      </w:r>
      <w:r w:rsidRPr="002B08CF">
        <w:rPr>
          <w:rFonts w:cstheme="minorHAnsi"/>
        </w:rPr>
        <w:t xml:space="preserve">113.14(c)(5) of the Illinois Pension Code, the names and addresses of: the </w:t>
      </w:r>
      <w:r w:rsidR="00FE2346" w:rsidRPr="002B08CF">
        <w:rPr>
          <w:rFonts w:cstheme="minorHAnsi"/>
        </w:rPr>
        <w:t>Investment Consultant</w:t>
      </w:r>
      <w:r w:rsidRPr="002B08CF">
        <w:rPr>
          <w:rFonts w:cstheme="minorHAnsi"/>
        </w:rPr>
        <w:t xml:space="preserve">; any entity that is a parent of, or owns a controlling interest in, the </w:t>
      </w:r>
      <w:r w:rsidR="00FE2346" w:rsidRPr="002B08CF">
        <w:rPr>
          <w:rFonts w:cstheme="minorHAnsi"/>
        </w:rPr>
        <w:t>Investment Consultant</w:t>
      </w:r>
      <w:r w:rsidRPr="002B08CF">
        <w:rPr>
          <w:rFonts w:cstheme="minorHAnsi"/>
        </w:rPr>
        <w:t xml:space="preserve">; any entity that is a subsidiary of, or in which a controlling interest is owned by, the </w:t>
      </w:r>
      <w:r w:rsidR="00FE2346" w:rsidRPr="002B08CF">
        <w:rPr>
          <w:rFonts w:cstheme="minorHAnsi"/>
        </w:rPr>
        <w:t>Investment Consultant</w:t>
      </w:r>
      <w:r w:rsidRPr="002B08CF">
        <w:rPr>
          <w:rFonts w:cstheme="minorHAnsi"/>
        </w:rPr>
        <w:t xml:space="preserve">; any persons who have an ownership or distributive income share in the Investment </w:t>
      </w:r>
      <w:r w:rsidR="00320043" w:rsidRPr="002B08CF">
        <w:rPr>
          <w:rFonts w:cstheme="minorHAnsi"/>
        </w:rPr>
        <w:t>Consultant</w:t>
      </w:r>
      <w:r w:rsidRPr="002B08CF">
        <w:rPr>
          <w:rFonts w:cstheme="minorHAnsi"/>
        </w:rPr>
        <w:t xml:space="preserve"> that is in excess of 7.5%; or serves as an executive officer of the </w:t>
      </w:r>
      <w:r w:rsidR="00FE2346" w:rsidRPr="002B08CF">
        <w:rPr>
          <w:rFonts w:cstheme="minorHAnsi"/>
        </w:rPr>
        <w:t>Investment Consultant</w:t>
      </w:r>
      <w:r w:rsidRPr="002B08CF">
        <w:rPr>
          <w:rFonts w:eastAsia="Times New Roman" w:cstheme="minorHAnsi"/>
        </w:rPr>
        <w:t xml:space="preserve">.  An “executive officer” shall mean any president, director, vice-president in charge of a principal business unit, division, or function (such as investment </w:t>
      </w:r>
      <w:r w:rsidR="006A0859" w:rsidRPr="002B08CF">
        <w:rPr>
          <w:rFonts w:eastAsia="Times New Roman" w:cstheme="minorHAnsi"/>
        </w:rPr>
        <w:t>consulting</w:t>
      </w:r>
      <w:r w:rsidRPr="002B08CF">
        <w:rPr>
          <w:rFonts w:eastAsia="Times New Roman" w:cstheme="minorHAnsi"/>
        </w:rPr>
        <w:t xml:space="preserve">, marketing, or administration), and any other employee who performs a policy-making role, regardless of the title given to their </w:t>
      </w:r>
      <w:proofErr w:type="gramStart"/>
      <w:r w:rsidRPr="002B08CF">
        <w:rPr>
          <w:rFonts w:eastAsia="Times New Roman" w:cstheme="minorHAnsi"/>
        </w:rPr>
        <w:t>position</w:t>
      </w:r>
      <w:r w:rsidRPr="002B08CF">
        <w:rPr>
          <w:rFonts w:cstheme="minorHAnsi"/>
        </w:rPr>
        <w:t>;</w:t>
      </w:r>
      <w:proofErr w:type="gramEnd"/>
      <w:r w:rsidRPr="002B08CF">
        <w:rPr>
          <w:rFonts w:cstheme="minorHAnsi"/>
        </w:rPr>
        <w:t xml:space="preserve"> </w:t>
      </w:r>
    </w:p>
    <w:p w14:paraId="7EADFD2E" w14:textId="77777777" w:rsidR="00C4440F" w:rsidRPr="002B08CF" w:rsidRDefault="00C4440F" w:rsidP="0009532B">
      <w:pPr>
        <w:pStyle w:val="ListParagraph"/>
        <w:numPr>
          <w:ilvl w:val="0"/>
          <w:numId w:val="1"/>
        </w:numPr>
        <w:spacing w:after="240" w:line="240" w:lineRule="auto"/>
        <w:ind w:hanging="540"/>
        <w:contextualSpacing w:val="0"/>
        <w:jc w:val="both"/>
        <w:rPr>
          <w:rFonts w:cstheme="minorHAnsi"/>
        </w:rPr>
      </w:pPr>
      <w:r w:rsidRPr="002B08CF">
        <w:rPr>
          <w:rFonts w:cstheme="minorHAnsi"/>
        </w:rPr>
        <w:t xml:space="preserve">A statement that contingent and placement fees are prohibited by Section 1-145 of the Illinois Pension </w:t>
      </w:r>
      <w:proofErr w:type="gramStart"/>
      <w:r w:rsidRPr="002B08CF">
        <w:rPr>
          <w:rFonts w:cstheme="minorHAnsi"/>
        </w:rPr>
        <w:t>Code</w:t>
      </w:r>
      <w:r w:rsidRPr="002B08CF">
        <w:rPr>
          <w:rFonts w:eastAsia="Times New Roman" w:cstheme="minorHAnsi"/>
        </w:rPr>
        <w:t>;</w:t>
      </w:r>
      <w:proofErr w:type="gramEnd"/>
      <w:r w:rsidRPr="002B08CF">
        <w:rPr>
          <w:rFonts w:cstheme="minorHAnsi"/>
        </w:rPr>
        <w:t xml:space="preserve"> </w:t>
      </w:r>
    </w:p>
    <w:p w14:paraId="45EAFCB6" w14:textId="657701EA" w:rsidR="00270915" w:rsidRPr="002B08CF" w:rsidRDefault="00270915" w:rsidP="0009532B">
      <w:pPr>
        <w:pStyle w:val="ListParagraph"/>
        <w:numPr>
          <w:ilvl w:val="0"/>
          <w:numId w:val="1"/>
        </w:numPr>
        <w:spacing w:after="240" w:line="240" w:lineRule="auto"/>
        <w:ind w:hanging="540"/>
        <w:contextualSpacing w:val="0"/>
        <w:jc w:val="both"/>
        <w:rPr>
          <w:rFonts w:cstheme="minorHAnsi"/>
        </w:rPr>
      </w:pPr>
      <w:r w:rsidRPr="002B08CF">
        <w:rPr>
          <w:rFonts w:cstheme="minorHAnsi"/>
        </w:rPr>
        <w:t xml:space="preserve">The Investment </w:t>
      </w:r>
      <w:r w:rsidR="00713C62" w:rsidRPr="002B08CF">
        <w:rPr>
          <w:rFonts w:cstheme="minorHAnsi"/>
        </w:rPr>
        <w:t>Consultant</w:t>
      </w:r>
      <w:r w:rsidRPr="002B08CF">
        <w:rPr>
          <w:rFonts w:cstheme="minorHAnsi"/>
        </w:rPr>
        <w:t xml:space="preserve"> shall provide: </w:t>
      </w:r>
    </w:p>
    <w:p w14:paraId="79612B68" w14:textId="49F8BBAF" w:rsidR="008B550A" w:rsidRDefault="00270915" w:rsidP="0009532B">
      <w:pPr>
        <w:numPr>
          <w:ilvl w:val="0"/>
          <w:numId w:val="7"/>
        </w:numPr>
        <w:tabs>
          <w:tab w:val="clear" w:pos="720"/>
        </w:tabs>
        <w:spacing w:after="240" w:line="240" w:lineRule="auto"/>
        <w:ind w:left="1080"/>
        <w:jc w:val="both"/>
        <w:rPr>
          <w:rFonts w:cstheme="minorHAnsi"/>
        </w:rPr>
      </w:pPr>
      <w:r w:rsidRPr="002B08CF">
        <w:rPr>
          <w:rFonts w:cstheme="minorHAnsi"/>
        </w:rPr>
        <w:t xml:space="preserve">A description of the process through which the Investment </w:t>
      </w:r>
      <w:r w:rsidR="00D435F4" w:rsidRPr="002B08CF">
        <w:rPr>
          <w:rFonts w:cstheme="minorHAnsi"/>
        </w:rPr>
        <w:t xml:space="preserve">Consultant </w:t>
      </w:r>
      <w:r w:rsidRPr="002B08CF">
        <w:rPr>
          <w:rFonts w:cstheme="minorHAnsi"/>
        </w:rPr>
        <w:t xml:space="preserve">will, within the </w:t>
      </w:r>
      <w:proofErr w:type="gramStart"/>
      <w:r w:rsidRPr="002B08CF">
        <w:rPr>
          <w:rFonts w:cstheme="minorHAnsi"/>
        </w:rPr>
        <w:t>bounds</w:t>
      </w:r>
      <w:proofErr w:type="gramEnd"/>
      <w:r w:rsidRPr="002B08CF">
        <w:rPr>
          <w:rFonts w:cstheme="minorHAnsi"/>
        </w:rPr>
        <w:t xml:space="preserve"> of financial and fiduciary prudence, integrate into investment decision-making, investment analysis, portfolio construction, due diligence, and investment ownership</w:t>
      </w:r>
      <w:r w:rsidR="006E5C55">
        <w:rPr>
          <w:rFonts w:cstheme="minorHAnsi"/>
        </w:rPr>
        <w:t xml:space="preserve"> the following Statement of Principle</w:t>
      </w:r>
      <w:r w:rsidR="00B74FA6">
        <w:rPr>
          <w:rFonts w:cstheme="minorHAnsi"/>
        </w:rPr>
        <w:t>:</w:t>
      </w:r>
    </w:p>
    <w:p w14:paraId="75D048A2" w14:textId="7AA6CCEC" w:rsidR="00270915" w:rsidRPr="002B08CF" w:rsidRDefault="000A4796" w:rsidP="008B550A">
      <w:pPr>
        <w:spacing w:after="240" w:line="240" w:lineRule="auto"/>
        <w:ind w:left="1080"/>
        <w:jc w:val="both"/>
        <w:rPr>
          <w:rFonts w:cstheme="minorHAnsi"/>
        </w:rPr>
      </w:pPr>
      <w:r>
        <w:rPr>
          <w:rFonts w:cstheme="minorHAnsi"/>
        </w:rPr>
        <w:t>“</w:t>
      </w:r>
      <w:r w:rsidRPr="00756F0F">
        <w:rPr>
          <w:rFonts w:cstheme="minorHAnsi"/>
        </w:rPr>
        <w:t>The Board of Trustees affirms as a matter of Fund policy that IPOPIF’s investments should recognize</w:t>
      </w:r>
      <w:r>
        <w:rPr>
          <w:rFonts w:cstheme="minorHAnsi"/>
        </w:rPr>
        <w:t xml:space="preserve"> </w:t>
      </w:r>
      <w:r w:rsidRPr="00756F0F">
        <w:rPr>
          <w:rFonts w:cstheme="minorHAnsi"/>
        </w:rPr>
        <w:t>and respect the positive impact that municipal law enforcement officers have in their communities</w:t>
      </w:r>
      <w:r>
        <w:rPr>
          <w:rFonts w:cstheme="minorHAnsi"/>
        </w:rPr>
        <w:t xml:space="preserve"> </w:t>
      </w:r>
      <w:r w:rsidRPr="00756F0F">
        <w:rPr>
          <w:rFonts w:cstheme="minorHAnsi"/>
        </w:rPr>
        <w:t>and these officers’ right to a strong defined benefit pension. The Board recognizes that some publicly</w:t>
      </w:r>
      <w:r>
        <w:rPr>
          <w:rFonts w:cstheme="minorHAnsi"/>
        </w:rPr>
        <w:t xml:space="preserve"> </w:t>
      </w:r>
      <w:r w:rsidRPr="00756F0F">
        <w:rPr>
          <w:rFonts w:cstheme="minorHAnsi"/>
        </w:rPr>
        <w:t xml:space="preserve">traded corporations and private owners or managers of investment vehicles may </w:t>
      </w:r>
      <w:r w:rsidR="005150E9">
        <w:rPr>
          <w:rFonts w:cstheme="minorHAnsi"/>
        </w:rPr>
        <w:t xml:space="preserve">invest in </w:t>
      </w:r>
      <w:r w:rsidR="00AE7CCE">
        <w:rPr>
          <w:rFonts w:cstheme="minorHAnsi"/>
        </w:rPr>
        <w:t xml:space="preserve">or </w:t>
      </w:r>
      <w:r w:rsidRPr="00756F0F">
        <w:rPr>
          <w:rFonts w:cstheme="minorHAnsi"/>
        </w:rPr>
        <w:t>support</w:t>
      </w:r>
      <w:r>
        <w:rPr>
          <w:rFonts w:cstheme="minorHAnsi"/>
        </w:rPr>
        <w:t xml:space="preserve"> </w:t>
      </w:r>
      <w:r w:rsidRPr="00756F0F">
        <w:rPr>
          <w:rFonts w:cstheme="minorHAnsi"/>
        </w:rPr>
        <w:t>organizations that engage in activity that could undermine law enforcement officers’ ability to</w:t>
      </w:r>
      <w:r>
        <w:rPr>
          <w:rFonts w:cstheme="minorHAnsi"/>
        </w:rPr>
        <w:t xml:space="preserve"> </w:t>
      </w:r>
      <w:r w:rsidRPr="00756F0F">
        <w:rPr>
          <w:rFonts w:cstheme="minorHAnsi"/>
        </w:rPr>
        <w:t>protect and serve their communities safely, such as defunding the police</w:t>
      </w:r>
      <w:r w:rsidR="00285605">
        <w:rPr>
          <w:rFonts w:cstheme="minorHAnsi"/>
        </w:rPr>
        <w:t xml:space="preserve"> (“Anti-Police Activity”)</w:t>
      </w:r>
      <w:r w:rsidRPr="00756F0F">
        <w:rPr>
          <w:rFonts w:cstheme="minorHAnsi"/>
        </w:rPr>
        <w:t>, or that could diminish</w:t>
      </w:r>
      <w:r>
        <w:rPr>
          <w:rFonts w:cstheme="minorHAnsi"/>
        </w:rPr>
        <w:t xml:space="preserve"> </w:t>
      </w:r>
      <w:r w:rsidRPr="00756F0F">
        <w:rPr>
          <w:rFonts w:cstheme="minorHAnsi"/>
        </w:rPr>
        <w:t>public pension sustainability or retirement security</w:t>
      </w:r>
      <w:r w:rsidR="00285605">
        <w:rPr>
          <w:rFonts w:cstheme="minorHAnsi"/>
        </w:rPr>
        <w:t xml:space="preserve"> (“Anti-Pension Activity”)</w:t>
      </w:r>
      <w:r>
        <w:rPr>
          <w:rFonts w:cstheme="minorHAnsi"/>
        </w:rPr>
        <w:t>.”</w:t>
      </w:r>
      <w:r w:rsidR="00270915" w:rsidRPr="002B08CF">
        <w:rPr>
          <w:rFonts w:cstheme="minorHAnsi"/>
        </w:rPr>
        <w:t> </w:t>
      </w:r>
    </w:p>
    <w:p w14:paraId="5136C293" w14:textId="5CCC4FA9" w:rsidR="00270915" w:rsidRPr="002B08CF" w:rsidRDefault="00270915" w:rsidP="0009532B">
      <w:pPr>
        <w:numPr>
          <w:ilvl w:val="0"/>
          <w:numId w:val="7"/>
        </w:numPr>
        <w:tabs>
          <w:tab w:val="clear" w:pos="720"/>
        </w:tabs>
        <w:spacing w:after="240" w:line="240" w:lineRule="auto"/>
        <w:ind w:left="1080"/>
        <w:jc w:val="both"/>
        <w:rPr>
          <w:rFonts w:cstheme="minorHAnsi"/>
        </w:rPr>
      </w:pPr>
      <w:r w:rsidRPr="002B08CF">
        <w:rPr>
          <w:rFonts w:cstheme="minorHAnsi"/>
        </w:rPr>
        <w:t>Disclosure of any financial support within the prior five (5) calendar years and/or formal involvement with any community, foundation, think tank, or not-for-profit organization that engages in ideologically, politically, or donor driven activities that are inconsistent with the Statement of Principle by each the following: </w:t>
      </w:r>
    </w:p>
    <w:p w14:paraId="3CD3582B" w14:textId="3155CA33" w:rsidR="00270915" w:rsidRPr="002B08CF" w:rsidRDefault="00270915" w:rsidP="0009532B">
      <w:pPr>
        <w:numPr>
          <w:ilvl w:val="0"/>
          <w:numId w:val="9"/>
        </w:numPr>
        <w:tabs>
          <w:tab w:val="clear" w:pos="720"/>
        </w:tabs>
        <w:spacing w:after="240" w:line="240" w:lineRule="auto"/>
        <w:ind w:left="1620"/>
        <w:jc w:val="both"/>
        <w:rPr>
          <w:rFonts w:cstheme="minorHAnsi"/>
        </w:rPr>
      </w:pPr>
      <w:r w:rsidRPr="002B08CF">
        <w:rPr>
          <w:rFonts w:cstheme="minorHAnsi"/>
        </w:rPr>
        <w:t xml:space="preserve">The Investment </w:t>
      </w:r>
      <w:proofErr w:type="gramStart"/>
      <w:r w:rsidR="00D435F4" w:rsidRPr="002B08CF">
        <w:rPr>
          <w:rFonts w:cstheme="minorHAnsi"/>
        </w:rPr>
        <w:t>Consultant</w:t>
      </w:r>
      <w:r w:rsidRPr="002B08CF">
        <w:rPr>
          <w:rFonts w:cstheme="minorHAnsi"/>
        </w:rPr>
        <w:t>;</w:t>
      </w:r>
      <w:proofErr w:type="gramEnd"/>
      <w:r w:rsidRPr="002B08CF">
        <w:rPr>
          <w:rFonts w:cstheme="minorHAnsi"/>
        </w:rPr>
        <w:t> </w:t>
      </w:r>
    </w:p>
    <w:p w14:paraId="12EA5080" w14:textId="458D3E82" w:rsidR="00270915" w:rsidRPr="002B08CF" w:rsidRDefault="00270915" w:rsidP="0009532B">
      <w:pPr>
        <w:numPr>
          <w:ilvl w:val="0"/>
          <w:numId w:val="10"/>
        </w:numPr>
        <w:tabs>
          <w:tab w:val="clear" w:pos="720"/>
        </w:tabs>
        <w:spacing w:after="240" w:line="240" w:lineRule="auto"/>
        <w:ind w:left="1620"/>
        <w:jc w:val="both"/>
        <w:rPr>
          <w:rFonts w:cstheme="minorHAnsi"/>
        </w:rPr>
      </w:pPr>
      <w:r w:rsidRPr="002B08CF">
        <w:rPr>
          <w:rFonts w:cstheme="minorHAnsi"/>
        </w:rPr>
        <w:lastRenderedPageBreak/>
        <w:t xml:space="preserve">Any executive officer or shareholder of the Investment </w:t>
      </w:r>
      <w:proofErr w:type="gramStart"/>
      <w:r w:rsidR="00D435F4" w:rsidRPr="002B08CF">
        <w:rPr>
          <w:rFonts w:cstheme="minorHAnsi"/>
        </w:rPr>
        <w:t>Consultant</w:t>
      </w:r>
      <w:r w:rsidRPr="002B08CF">
        <w:rPr>
          <w:rFonts w:cstheme="minorHAnsi"/>
        </w:rPr>
        <w:t>;</w:t>
      </w:r>
      <w:proofErr w:type="gramEnd"/>
      <w:r w:rsidRPr="002B08CF">
        <w:rPr>
          <w:rFonts w:cstheme="minorHAnsi"/>
        </w:rPr>
        <w:t> </w:t>
      </w:r>
    </w:p>
    <w:p w14:paraId="421F0109" w14:textId="688D9C08" w:rsidR="00270915" w:rsidRPr="002B08CF" w:rsidRDefault="00270915" w:rsidP="0009532B">
      <w:pPr>
        <w:numPr>
          <w:ilvl w:val="0"/>
          <w:numId w:val="11"/>
        </w:numPr>
        <w:tabs>
          <w:tab w:val="clear" w:pos="720"/>
        </w:tabs>
        <w:spacing w:after="240" w:line="240" w:lineRule="auto"/>
        <w:ind w:left="1620"/>
        <w:jc w:val="both"/>
        <w:rPr>
          <w:rFonts w:cstheme="minorHAnsi"/>
        </w:rPr>
      </w:pPr>
      <w:r w:rsidRPr="002B08CF">
        <w:rPr>
          <w:rFonts w:cstheme="minorHAnsi"/>
        </w:rPr>
        <w:t xml:space="preserve">Any parent entity or entity that owns a controlling interest in the Investment </w:t>
      </w:r>
      <w:r w:rsidR="00D435F4" w:rsidRPr="002B08CF">
        <w:rPr>
          <w:rFonts w:cstheme="minorHAnsi"/>
        </w:rPr>
        <w:t>Consultant</w:t>
      </w:r>
      <w:r w:rsidRPr="002B08CF">
        <w:rPr>
          <w:rFonts w:cstheme="minorHAnsi"/>
        </w:rPr>
        <w:t>; and </w:t>
      </w:r>
    </w:p>
    <w:p w14:paraId="3A779B80" w14:textId="1249854B" w:rsidR="00270915" w:rsidRPr="002B08CF" w:rsidRDefault="00270915" w:rsidP="0009532B">
      <w:pPr>
        <w:numPr>
          <w:ilvl w:val="0"/>
          <w:numId w:val="12"/>
        </w:numPr>
        <w:tabs>
          <w:tab w:val="clear" w:pos="720"/>
        </w:tabs>
        <w:spacing w:after="240" w:line="240" w:lineRule="auto"/>
        <w:ind w:left="1620"/>
        <w:jc w:val="both"/>
        <w:rPr>
          <w:rFonts w:cstheme="minorHAnsi"/>
        </w:rPr>
      </w:pPr>
      <w:r w:rsidRPr="002B08CF">
        <w:rPr>
          <w:rFonts w:cstheme="minorHAnsi"/>
        </w:rPr>
        <w:t xml:space="preserve">Any executive officer or shareholder of any parent entity or entity that owns a controlling interest in the Investment </w:t>
      </w:r>
      <w:r w:rsidR="00D435F4" w:rsidRPr="002B08CF">
        <w:rPr>
          <w:rFonts w:cstheme="minorHAnsi"/>
        </w:rPr>
        <w:t>Consultant</w:t>
      </w:r>
      <w:r w:rsidRPr="002B08CF">
        <w:rPr>
          <w:rFonts w:cstheme="minorHAnsi"/>
        </w:rPr>
        <w:t>. </w:t>
      </w:r>
    </w:p>
    <w:p w14:paraId="19954030" w14:textId="77777777" w:rsidR="00270915" w:rsidRPr="002B08CF" w:rsidRDefault="00270915" w:rsidP="0009532B">
      <w:pPr>
        <w:spacing w:after="240" w:line="240" w:lineRule="auto"/>
        <w:ind w:left="810"/>
        <w:jc w:val="both"/>
        <w:rPr>
          <w:rFonts w:cstheme="minorHAnsi"/>
        </w:rPr>
      </w:pPr>
      <w:r w:rsidRPr="002B08CF">
        <w:rPr>
          <w:rFonts w:cstheme="minorHAnsi"/>
        </w:rPr>
        <w:t>For purposes of this Subsection, an “executive officer” shall mean any president, director, vice- president in charge of a principal business unit, division or function (such as investment management, marketing, or administration), and any other employee who performs a policy-making role, regardless of the title given to their position. </w:t>
      </w:r>
    </w:p>
    <w:p w14:paraId="09CA5C3B" w14:textId="0EB8DC3D" w:rsidR="00A72FA4" w:rsidRPr="00270915" w:rsidRDefault="00535772" w:rsidP="0009532B">
      <w:pPr>
        <w:spacing w:after="240" w:line="240" w:lineRule="auto"/>
        <w:ind w:left="810"/>
        <w:jc w:val="both"/>
        <w:rPr>
          <w:rFonts w:cstheme="minorHAnsi"/>
        </w:rPr>
      </w:pPr>
      <w:bookmarkStart w:id="0" w:name="_Hlk176354860"/>
      <w:r>
        <w:rPr>
          <w:rStyle w:val="normaltextrun"/>
          <w:color w:val="000000"/>
          <w:shd w:val="clear" w:color="auto" w:fill="FFFFFF"/>
        </w:rPr>
        <w:t>The Board</w:t>
      </w:r>
      <w:r w:rsidR="00EB2888">
        <w:rPr>
          <w:rStyle w:val="normaltextrun"/>
          <w:color w:val="000000"/>
          <w:shd w:val="clear" w:color="auto" w:fill="FFFFFF"/>
        </w:rPr>
        <w:t xml:space="preserve"> </w:t>
      </w:r>
      <w:r w:rsidR="0017080D">
        <w:rPr>
          <w:rStyle w:val="normaltextrun"/>
          <w:color w:val="000000"/>
          <w:shd w:val="clear" w:color="auto" w:fill="FFFFFF"/>
        </w:rPr>
        <w:t>intends to develop</w:t>
      </w:r>
      <w:r w:rsidR="00EB2888">
        <w:rPr>
          <w:rStyle w:val="normaltextrun"/>
          <w:color w:val="000000"/>
          <w:shd w:val="clear" w:color="auto" w:fill="FFFFFF"/>
        </w:rPr>
        <w:t xml:space="preserve"> a</w:t>
      </w:r>
      <w:r w:rsidR="00A72FA4" w:rsidRPr="002B08CF">
        <w:rPr>
          <w:rStyle w:val="normaltextrun"/>
          <w:color w:val="000000"/>
          <w:shd w:val="clear" w:color="auto" w:fill="FFFFFF"/>
        </w:rPr>
        <w:t xml:space="preserve"> non-exhaustive list of the entities that fall under the disclosure required by this S</w:t>
      </w:r>
      <w:r w:rsidR="008D5BA6" w:rsidRPr="002B08CF">
        <w:rPr>
          <w:rStyle w:val="normaltextrun"/>
          <w:color w:val="000000"/>
          <w:shd w:val="clear" w:color="auto" w:fill="FFFFFF"/>
        </w:rPr>
        <w:t>e</w:t>
      </w:r>
      <w:r w:rsidR="00A72FA4" w:rsidRPr="002B08CF">
        <w:rPr>
          <w:rStyle w:val="normaltextrun"/>
          <w:color w:val="000000"/>
          <w:shd w:val="clear" w:color="auto" w:fill="FFFFFF"/>
        </w:rPr>
        <w:t>ction.</w:t>
      </w:r>
    </w:p>
    <w:bookmarkEnd w:id="0"/>
    <w:p w14:paraId="367F2ED4" w14:textId="26BC5341" w:rsidR="00C4440F" w:rsidRPr="00C2153E" w:rsidRDefault="00C4440F" w:rsidP="0009532B">
      <w:pPr>
        <w:pStyle w:val="ListParagraph"/>
        <w:numPr>
          <w:ilvl w:val="0"/>
          <w:numId w:val="1"/>
        </w:numPr>
        <w:spacing w:after="240" w:line="240" w:lineRule="auto"/>
        <w:ind w:hanging="540"/>
        <w:contextualSpacing w:val="0"/>
        <w:jc w:val="both"/>
        <w:rPr>
          <w:rFonts w:cstheme="minorHAnsi"/>
        </w:rPr>
      </w:pPr>
      <w:r w:rsidRPr="00C2153E">
        <w:rPr>
          <w:rFonts w:cstheme="minorHAnsi"/>
        </w:rPr>
        <w:t xml:space="preserve">Pursuant to Section </w:t>
      </w:r>
      <w:r w:rsidR="00CF14E4">
        <w:rPr>
          <w:rFonts w:cstheme="minorHAnsi"/>
        </w:rPr>
        <w:t>1-</w:t>
      </w:r>
      <w:r w:rsidRPr="00C2153E">
        <w:rPr>
          <w:rFonts w:cstheme="minorHAnsi"/>
        </w:rPr>
        <w:t xml:space="preserve">113.14(c)(6) of the Illinois Pension Code, </w:t>
      </w:r>
      <w:r w:rsidRPr="00C2153E">
        <w:rPr>
          <w:rFonts w:eastAsia="Times New Roman" w:cstheme="minorHAnsi"/>
        </w:rPr>
        <w:t>the</w:t>
      </w:r>
      <w:r w:rsidRPr="00C2153E">
        <w:rPr>
          <w:rFonts w:cstheme="minorHAnsi"/>
        </w:rPr>
        <w:t xml:space="preserve"> names and addresses of all subcontractors, if any, and the expected amount of money each will receive under the </w:t>
      </w:r>
      <w:proofErr w:type="gramStart"/>
      <w:r w:rsidRPr="00C2153E">
        <w:rPr>
          <w:rFonts w:cstheme="minorHAnsi"/>
        </w:rPr>
        <w:t>contract</w:t>
      </w:r>
      <w:r w:rsidRPr="00C2153E">
        <w:rPr>
          <w:rFonts w:eastAsia="Times New Roman" w:cstheme="minorHAnsi"/>
        </w:rPr>
        <w:t>;</w:t>
      </w:r>
      <w:proofErr w:type="gramEnd"/>
      <w:r w:rsidRPr="00C2153E">
        <w:rPr>
          <w:rFonts w:eastAsia="Times New Roman" w:cstheme="minorHAnsi"/>
        </w:rPr>
        <w:t xml:space="preserve"> </w:t>
      </w:r>
    </w:p>
    <w:p w14:paraId="44A188FC" w14:textId="60360611" w:rsidR="00C4440F" w:rsidRPr="00C2153E" w:rsidRDefault="00C4440F" w:rsidP="0009532B">
      <w:pPr>
        <w:pStyle w:val="ListParagraph"/>
        <w:numPr>
          <w:ilvl w:val="0"/>
          <w:numId w:val="1"/>
        </w:numPr>
        <w:spacing w:after="240" w:line="240" w:lineRule="auto"/>
        <w:ind w:hanging="540"/>
        <w:contextualSpacing w:val="0"/>
        <w:jc w:val="both"/>
        <w:rPr>
          <w:rStyle w:val="HTMLCode"/>
          <w:rFonts w:asciiTheme="minorHAnsi" w:eastAsiaTheme="minorHAnsi" w:hAnsiTheme="minorHAnsi" w:cstheme="minorHAnsi"/>
          <w:sz w:val="22"/>
          <w:szCs w:val="22"/>
        </w:rPr>
      </w:pPr>
      <w:r w:rsidRPr="00C2153E">
        <w:rPr>
          <w:rFonts w:cstheme="minorHAnsi"/>
        </w:rPr>
        <w:t xml:space="preserve">Pursuant to Section </w:t>
      </w:r>
      <w:r w:rsidR="00CB3AB3">
        <w:rPr>
          <w:rFonts w:cstheme="minorHAnsi"/>
        </w:rPr>
        <w:t>1-</w:t>
      </w:r>
      <w:r w:rsidRPr="00C2153E">
        <w:rPr>
          <w:rFonts w:cstheme="minorHAnsi"/>
        </w:rPr>
        <w:t xml:space="preserve">113.21 of the Illinois Pension Code, a disclosure of the number of the Investment </w:t>
      </w:r>
      <w:r w:rsidR="00B76AF4">
        <w:rPr>
          <w:rFonts w:cstheme="minorHAnsi"/>
        </w:rPr>
        <w:t>Consultant’s</w:t>
      </w:r>
      <w:r w:rsidRPr="00C2153E">
        <w:rPr>
          <w:rFonts w:cstheme="minorHAnsi"/>
        </w:rPr>
        <w:t xml:space="preserve"> investment and senior staff and the percentage of that staff who are a minority person, a women, a veteran, or a person with a disability; the number of contracts for investment, consulting, professional, and artistic services the </w:t>
      </w:r>
      <w:r w:rsidR="00B76AF4" w:rsidRPr="00C2153E">
        <w:rPr>
          <w:rFonts w:cstheme="minorHAnsi"/>
        </w:rPr>
        <w:t xml:space="preserve">Investment </w:t>
      </w:r>
      <w:r w:rsidR="00B76AF4">
        <w:rPr>
          <w:rFonts w:cstheme="minorHAnsi"/>
        </w:rPr>
        <w:t>Consultant</w:t>
      </w:r>
      <w:r w:rsidR="00B76AF4" w:rsidRPr="00C2153E">
        <w:rPr>
          <w:rFonts w:cstheme="minorHAnsi"/>
        </w:rPr>
        <w:t xml:space="preserve"> </w:t>
      </w:r>
      <w:r w:rsidRPr="00C2153E">
        <w:rPr>
          <w:rFonts w:cstheme="minorHAnsi"/>
        </w:rPr>
        <w:t xml:space="preserve">has with a MWDBE, SDVOSB, or VOSB; the number of contracts for investment, consulting, professional, and artistic services which the </w:t>
      </w:r>
      <w:r w:rsidR="00B76AF4" w:rsidRPr="00C2153E">
        <w:rPr>
          <w:rFonts w:cstheme="minorHAnsi"/>
        </w:rPr>
        <w:t xml:space="preserve">Investment </w:t>
      </w:r>
      <w:r w:rsidR="00B76AF4">
        <w:rPr>
          <w:rFonts w:cstheme="minorHAnsi"/>
        </w:rPr>
        <w:t>Consultant</w:t>
      </w:r>
      <w:r w:rsidR="00B76AF4" w:rsidRPr="00C2153E">
        <w:rPr>
          <w:rFonts w:cstheme="minorHAnsi"/>
        </w:rPr>
        <w:t xml:space="preserve"> </w:t>
      </w:r>
      <w:r w:rsidRPr="00C2153E">
        <w:rPr>
          <w:rFonts w:cstheme="minorHAnsi"/>
        </w:rPr>
        <w:t xml:space="preserve">has with a business other than a MWDBE, SDVOSB, or VOSB, if more than 50% of the services performed pursuant to that contract are performed by a minority person, a women, or a person with a disability.  </w:t>
      </w:r>
      <w:r w:rsidRPr="00C2153E">
        <w:rPr>
          <w:rStyle w:val="HTMLCode"/>
          <w:rFonts w:asciiTheme="minorHAnsi" w:eastAsiaTheme="minorEastAsia" w:hAnsiTheme="minorHAnsi" w:cstheme="minorHAnsi"/>
          <w:sz w:val="22"/>
          <w:szCs w:val="22"/>
        </w:rPr>
        <w:t xml:space="preserve">For the purposes of this subsection, the terms “professional service” and “artistic service” have the same meanings as those terms have in 30 ILCS 500/1-15.60.  Note that the SDVOSB and VOSB reporting required under this provision is not required by the Pension Code but is required by </w:t>
      </w:r>
      <w:proofErr w:type="gramStart"/>
      <w:r w:rsidRPr="00C2153E">
        <w:rPr>
          <w:rStyle w:val="HTMLCode"/>
          <w:rFonts w:asciiTheme="minorHAnsi" w:eastAsiaTheme="minorEastAsia" w:hAnsiTheme="minorHAnsi" w:cstheme="minorHAnsi"/>
          <w:sz w:val="22"/>
          <w:szCs w:val="22"/>
        </w:rPr>
        <w:t>the IPOPIF</w:t>
      </w:r>
      <w:proofErr w:type="gramEnd"/>
      <w:r w:rsidRPr="00C2153E">
        <w:rPr>
          <w:rStyle w:val="HTMLCode"/>
          <w:rFonts w:asciiTheme="minorHAnsi" w:eastAsiaTheme="minorEastAsia" w:hAnsiTheme="minorHAnsi" w:cstheme="minorHAnsi"/>
          <w:sz w:val="22"/>
          <w:szCs w:val="22"/>
        </w:rPr>
        <w:t>; and</w:t>
      </w:r>
    </w:p>
    <w:p w14:paraId="170D3CC7" w14:textId="217CE0DC" w:rsidR="00C0090F" w:rsidRPr="00C0090F" w:rsidRDefault="00C0090F" w:rsidP="0009532B">
      <w:pPr>
        <w:pStyle w:val="ListParagraph"/>
        <w:numPr>
          <w:ilvl w:val="0"/>
          <w:numId w:val="1"/>
        </w:numPr>
        <w:spacing w:after="240" w:line="240" w:lineRule="auto"/>
        <w:ind w:hanging="540"/>
        <w:contextualSpacing w:val="0"/>
        <w:jc w:val="both"/>
        <w:rPr>
          <w:rFonts w:cstheme="minorHAnsi"/>
        </w:rPr>
      </w:pPr>
      <w:r w:rsidRPr="00C0090F">
        <w:rPr>
          <w:rFonts w:cs="Times New Roman"/>
        </w:rPr>
        <w:t xml:space="preserve">Pursuant to Section </w:t>
      </w:r>
      <w:r w:rsidR="00CB3AB3">
        <w:rPr>
          <w:rFonts w:cs="Times New Roman"/>
        </w:rPr>
        <w:t>1-</w:t>
      </w:r>
      <w:r w:rsidRPr="00C0090F">
        <w:rPr>
          <w:rFonts w:cs="Times New Roman"/>
        </w:rPr>
        <w:t xml:space="preserve">113.22 of the Illinois Pension Code, </w:t>
      </w:r>
      <w:r>
        <w:rPr>
          <w:rFonts w:eastAsia="Times New Roman" w:cs="Times New Roman"/>
        </w:rPr>
        <w:t>the</w:t>
      </w:r>
      <w:r w:rsidRPr="00C0090F">
        <w:rPr>
          <w:rFonts w:eastAsia="Times New Roman" w:cs="Times New Roman"/>
        </w:rPr>
        <w:t xml:space="preserve"> Investment Consultant shall disclose for the prior calendar year:</w:t>
      </w:r>
    </w:p>
    <w:p w14:paraId="71E15A75" w14:textId="77777777" w:rsidR="00C0090F" w:rsidRDefault="00C0090F" w:rsidP="0009532B">
      <w:pPr>
        <w:pStyle w:val="ListParagraph"/>
        <w:numPr>
          <w:ilvl w:val="0"/>
          <w:numId w:val="13"/>
        </w:numPr>
        <w:spacing w:after="240" w:line="240" w:lineRule="auto"/>
        <w:ind w:left="1080"/>
        <w:contextualSpacing w:val="0"/>
        <w:jc w:val="both"/>
        <w:rPr>
          <w:rFonts w:eastAsia="Times New Roman" w:cs="Times New Roman"/>
        </w:rPr>
      </w:pPr>
      <w:r w:rsidRPr="00A144B3">
        <w:rPr>
          <w:rFonts w:eastAsia="Times New Roman" w:cs="Times New Roman"/>
        </w:rPr>
        <w:t xml:space="preserve">The total number of searches for investment </w:t>
      </w:r>
      <w:proofErr w:type="gramStart"/>
      <w:r w:rsidRPr="00A144B3">
        <w:rPr>
          <w:rFonts w:eastAsia="Times New Roman" w:cs="Times New Roman"/>
        </w:rPr>
        <w:t>services</w:t>
      </w:r>
      <w:r>
        <w:rPr>
          <w:rFonts w:eastAsia="Times New Roman" w:cs="Times New Roman"/>
        </w:rPr>
        <w:t>;</w:t>
      </w:r>
      <w:proofErr w:type="gramEnd"/>
    </w:p>
    <w:p w14:paraId="6D58353C" w14:textId="77777777" w:rsidR="00C0090F" w:rsidRPr="00A144B3" w:rsidRDefault="00C0090F" w:rsidP="0009532B">
      <w:pPr>
        <w:pStyle w:val="ListParagraph"/>
        <w:numPr>
          <w:ilvl w:val="0"/>
          <w:numId w:val="13"/>
        </w:numPr>
        <w:spacing w:after="240" w:line="240" w:lineRule="auto"/>
        <w:ind w:left="1080"/>
        <w:contextualSpacing w:val="0"/>
        <w:jc w:val="both"/>
        <w:rPr>
          <w:rFonts w:eastAsia="Times New Roman" w:cs="Times New Roman"/>
        </w:rPr>
      </w:pPr>
      <w:r w:rsidRPr="00A144B3">
        <w:rPr>
          <w:rFonts w:eastAsia="Times New Roman" w:cs="Times New Roman"/>
        </w:rPr>
        <w:t xml:space="preserve">The total number of searches for investment services that included </w:t>
      </w:r>
      <w:proofErr w:type="gramStart"/>
      <w:r w:rsidRPr="00A144B3">
        <w:rPr>
          <w:rFonts w:eastAsia="Times New Roman" w:cs="Times New Roman"/>
        </w:rPr>
        <w:t>MWDBE;</w:t>
      </w:r>
      <w:proofErr w:type="gramEnd"/>
    </w:p>
    <w:p w14:paraId="6BFF2D04" w14:textId="59CE23E3" w:rsidR="00C0090F" w:rsidRPr="00A144B3" w:rsidRDefault="00C0090F" w:rsidP="0009532B">
      <w:pPr>
        <w:pStyle w:val="ListParagraph"/>
        <w:numPr>
          <w:ilvl w:val="0"/>
          <w:numId w:val="13"/>
        </w:numPr>
        <w:spacing w:after="240" w:line="240" w:lineRule="auto"/>
        <w:ind w:left="1080"/>
        <w:contextualSpacing w:val="0"/>
        <w:jc w:val="both"/>
        <w:rPr>
          <w:rFonts w:eastAsia="Times New Roman" w:cs="Times New Roman"/>
        </w:rPr>
      </w:pPr>
      <w:r w:rsidRPr="00A144B3">
        <w:rPr>
          <w:rFonts w:eastAsia="Times New Roman" w:cs="Times New Roman"/>
        </w:rPr>
        <w:t xml:space="preserve">The total number of searches for investment services in which the </w:t>
      </w:r>
      <w:r w:rsidR="0075156C">
        <w:rPr>
          <w:rFonts w:eastAsia="Times New Roman" w:cs="Times New Roman"/>
        </w:rPr>
        <w:t>Investment Consultant</w:t>
      </w:r>
      <w:r w:rsidRPr="00A144B3">
        <w:rPr>
          <w:rFonts w:eastAsia="Times New Roman" w:cs="Times New Roman"/>
        </w:rPr>
        <w:t xml:space="preserve"> recommended for selection a </w:t>
      </w:r>
      <w:proofErr w:type="gramStart"/>
      <w:r w:rsidRPr="00A144B3">
        <w:rPr>
          <w:rFonts w:eastAsia="Times New Roman" w:cs="Times New Roman"/>
        </w:rPr>
        <w:t>MWDBE;</w:t>
      </w:r>
      <w:proofErr w:type="gramEnd"/>
    </w:p>
    <w:p w14:paraId="43E0AC0A" w14:textId="77777777" w:rsidR="00903FE6" w:rsidRDefault="00C0090F" w:rsidP="0009532B">
      <w:pPr>
        <w:pStyle w:val="ListParagraph"/>
        <w:numPr>
          <w:ilvl w:val="0"/>
          <w:numId w:val="13"/>
        </w:numPr>
        <w:spacing w:after="240" w:line="240" w:lineRule="auto"/>
        <w:ind w:left="1080"/>
        <w:contextualSpacing w:val="0"/>
        <w:jc w:val="both"/>
        <w:rPr>
          <w:rFonts w:eastAsia="Times New Roman" w:cs="Times New Roman"/>
        </w:rPr>
      </w:pPr>
      <w:r w:rsidRPr="00A144B3">
        <w:rPr>
          <w:rFonts w:eastAsia="Times New Roman" w:cs="Times New Roman"/>
        </w:rPr>
        <w:t>The total number of searches for investment services that resulted in the selection of a MWDBE; and</w:t>
      </w:r>
    </w:p>
    <w:p w14:paraId="5AB2C3C5" w14:textId="1BEB4A1C" w:rsidR="00C0090F" w:rsidRPr="00903FE6" w:rsidRDefault="00C0090F" w:rsidP="0009532B">
      <w:pPr>
        <w:pStyle w:val="ListParagraph"/>
        <w:numPr>
          <w:ilvl w:val="0"/>
          <w:numId w:val="13"/>
        </w:numPr>
        <w:spacing w:after="240" w:line="240" w:lineRule="auto"/>
        <w:ind w:left="1080"/>
        <w:contextualSpacing w:val="0"/>
        <w:jc w:val="both"/>
        <w:rPr>
          <w:rFonts w:eastAsia="Times New Roman" w:cs="Times New Roman"/>
        </w:rPr>
      </w:pPr>
      <w:r w:rsidRPr="00903FE6">
        <w:rPr>
          <w:rFonts w:eastAsia="Times New Roman" w:cs="Times New Roman"/>
        </w:rPr>
        <w:t xml:space="preserve">The total dollar </w:t>
      </w:r>
      <w:proofErr w:type="gramStart"/>
      <w:r w:rsidRPr="00903FE6">
        <w:rPr>
          <w:rFonts w:eastAsia="Times New Roman" w:cs="Times New Roman"/>
        </w:rPr>
        <w:t>amount of investment</w:t>
      </w:r>
      <w:proofErr w:type="gramEnd"/>
      <w:r w:rsidRPr="00903FE6">
        <w:rPr>
          <w:rFonts w:eastAsia="Times New Roman" w:cs="Times New Roman"/>
        </w:rPr>
        <w:t xml:space="preserve"> made with a MWDBE that was selected after a search for investment services performed by the </w:t>
      </w:r>
      <w:r w:rsidR="0075156C">
        <w:rPr>
          <w:rFonts w:eastAsia="Times New Roman" w:cs="Times New Roman"/>
        </w:rPr>
        <w:t>Investment Consultant</w:t>
      </w:r>
      <w:r w:rsidRPr="00903FE6">
        <w:rPr>
          <w:rFonts w:eastAsia="Times New Roman" w:cs="Times New Roman"/>
        </w:rPr>
        <w:t>.</w:t>
      </w:r>
    </w:p>
    <w:p w14:paraId="3022BC57" w14:textId="53DBBA6D" w:rsidR="00C4440F" w:rsidRPr="002C2E45" w:rsidRDefault="00281849" w:rsidP="0009532B">
      <w:pPr>
        <w:pStyle w:val="ListParagraph"/>
        <w:numPr>
          <w:ilvl w:val="0"/>
          <w:numId w:val="1"/>
        </w:numPr>
        <w:spacing w:after="240" w:line="240" w:lineRule="auto"/>
        <w:ind w:hanging="540"/>
        <w:contextualSpacing w:val="0"/>
        <w:jc w:val="both"/>
        <w:rPr>
          <w:rFonts w:cstheme="minorHAnsi"/>
        </w:rPr>
      </w:pPr>
      <w:r>
        <w:rPr>
          <w:rFonts w:eastAsia="Times New Roman" w:cs="Times New Roman"/>
        </w:rPr>
        <w:t xml:space="preserve">Pursuant to Section </w:t>
      </w:r>
      <w:r w:rsidR="00CB3AB3">
        <w:rPr>
          <w:rFonts w:eastAsia="Times New Roman" w:cs="Times New Roman"/>
        </w:rPr>
        <w:t>1-</w:t>
      </w:r>
      <w:r w:rsidR="00260CEE">
        <w:rPr>
          <w:rFonts w:eastAsia="Times New Roman" w:cs="Times New Roman"/>
        </w:rPr>
        <w:t>113.23 of the Illinois Pension Code, t</w:t>
      </w:r>
      <w:r w:rsidR="00C4440F" w:rsidRPr="00C2153E">
        <w:rPr>
          <w:rFonts w:eastAsia="Times New Roman" w:cs="Times New Roman"/>
        </w:rPr>
        <w:t xml:space="preserve">he </w:t>
      </w:r>
      <w:r w:rsidR="00B46748" w:rsidRPr="00C2153E">
        <w:rPr>
          <w:rFonts w:cstheme="minorHAnsi"/>
        </w:rPr>
        <w:t xml:space="preserve">Investment </w:t>
      </w:r>
      <w:r w:rsidR="00B46748">
        <w:rPr>
          <w:rFonts w:cstheme="minorHAnsi"/>
        </w:rPr>
        <w:t>Consultant</w:t>
      </w:r>
      <w:r w:rsidR="00B46748" w:rsidRPr="00C2153E">
        <w:rPr>
          <w:rFonts w:cstheme="minorHAnsi"/>
        </w:rPr>
        <w:t xml:space="preserve"> </w:t>
      </w:r>
      <w:r w:rsidR="00C4440F" w:rsidRPr="00C2153E">
        <w:rPr>
          <w:rFonts w:eastAsia="Times New Roman" w:cs="Times New Roman"/>
        </w:rPr>
        <w:t xml:space="preserve">shall disclose for the prior 24 months any compensation or economic opportunity </w:t>
      </w:r>
      <w:r w:rsidR="00296A7C">
        <w:rPr>
          <w:rFonts w:eastAsia="Times New Roman" w:cs="Times New Roman"/>
        </w:rPr>
        <w:t xml:space="preserve">received </w:t>
      </w:r>
      <w:r w:rsidR="00BC1E76">
        <w:rPr>
          <w:rFonts w:eastAsia="Times New Roman" w:cs="Times New Roman"/>
        </w:rPr>
        <w:t xml:space="preserve">in the last 24 months </w:t>
      </w:r>
      <w:r w:rsidR="00296A7C">
        <w:rPr>
          <w:rFonts w:eastAsia="Times New Roman" w:cs="Times New Roman"/>
        </w:rPr>
        <w:lastRenderedPageBreak/>
        <w:t>from an Investment Adviser</w:t>
      </w:r>
      <w:r w:rsidR="00D66120">
        <w:rPr>
          <w:rFonts w:eastAsia="Times New Roman" w:cs="Times New Roman"/>
        </w:rPr>
        <w:t xml:space="preserve"> </w:t>
      </w:r>
      <w:r w:rsidR="00C4067E">
        <w:rPr>
          <w:rFonts w:eastAsia="Times New Roman" w:cs="Times New Roman"/>
        </w:rPr>
        <w:t xml:space="preserve">or Transition Manager that is </w:t>
      </w:r>
      <w:r w:rsidR="005A4D14">
        <w:rPr>
          <w:rFonts w:eastAsia="Times New Roman" w:cs="Times New Roman"/>
        </w:rPr>
        <w:t xml:space="preserve">retained by the </w:t>
      </w:r>
      <w:r w:rsidR="00C4067E">
        <w:rPr>
          <w:rFonts w:eastAsia="Times New Roman" w:cs="Times New Roman"/>
        </w:rPr>
        <w:t xml:space="preserve">Board </w:t>
      </w:r>
      <w:r w:rsidR="00BC1E76">
        <w:rPr>
          <w:rFonts w:eastAsia="Times New Roman" w:cs="Times New Roman"/>
        </w:rPr>
        <w:t>or has been recommended for selection by the Investment Consultant</w:t>
      </w:r>
      <w:r w:rsidR="00C4440F" w:rsidRPr="00C2153E">
        <w:rPr>
          <w:rFonts w:eastAsia="Times New Roman" w:cs="Times New Roman"/>
        </w:rPr>
        <w:t>. “Compensation” means any money, thing of value, or economic benefit conferred on, or received by, the Investment Consultant in return for services rendered, or to be rendered, by himself, herself, or another.</w:t>
      </w:r>
      <w:r w:rsidR="00C4440F" w:rsidRPr="00C2153E">
        <w:rPr>
          <w:rFonts w:cs="Times New Roman"/>
        </w:rPr>
        <w:t xml:space="preserve">  "Economic opportunity" means any purchase, sale, lease, contract, option, or other transaction or arrangement involving property or services wherein the Investment Consultant may gain an economic benefit.</w:t>
      </w:r>
    </w:p>
    <w:p w14:paraId="74A3E100" w14:textId="637ADEFE" w:rsidR="00AC1254" w:rsidRDefault="00265C4E" w:rsidP="006E1388">
      <w:pPr>
        <w:pStyle w:val="ListParagraph"/>
        <w:numPr>
          <w:ilvl w:val="0"/>
          <w:numId w:val="1"/>
        </w:numPr>
        <w:spacing w:after="240" w:line="240" w:lineRule="auto"/>
        <w:ind w:hanging="540"/>
        <w:contextualSpacing w:val="0"/>
        <w:jc w:val="both"/>
      </w:pPr>
      <w:r>
        <w:rPr>
          <w:rFonts w:cstheme="minorHAnsi"/>
        </w:rPr>
        <w:t>Section 1-110(e) of the Illinois Pension Code</w:t>
      </w:r>
      <w:r w:rsidR="00AC1254">
        <w:rPr>
          <w:rFonts w:cstheme="minorHAnsi"/>
        </w:rPr>
        <w:t xml:space="preserve"> provides </w:t>
      </w:r>
      <w:r w:rsidR="006E1388">
        <w:rPr>
          <w:rFonts w:cstheme="minorHAnsi"/>
        </w:rPr>
        <w:t>that an Investment Consultant</w:t>
      </w:r>
      <w:r w:rsidR="00AC1254" w:rsidRPr="002F77F1">
        <w:t xml:space="preserve"> </w:t>
      </w:r>
      <w:r w:rsidR="006E1388">
        <w:t>“</w:t>
      </w:r>
      <w:r w:rsidR="00AC1254" w:rsidRPr="002F77F1">
        <w:t xml:space="preserve">shall not knowingly cause or advise </w:t>
      </w:r>
      <w:r w:rsidR="006E1388">
        <w:t>[IPOPIF]</w:t>
      </w:r>
      <w:r w:rsidR="00AC1254" w:rsidRPr="002F77F1">
        <w:t xml:space="preserve"> to</w:t>
      </w:r>
      <w:r w:rsidR="00AC1254">
        <w:t xml:space="preserve"> </w:t>
      </w:r>
      <w:r w:rsidR="00AC1254" w:rsidRPr="00912587">
        <w:t xml:space="preserve">engage in an investment transaction with an investment adviser when the </w:t>
      </w:r>
      <w:r w:rsidR="006E1388">
        <w:t>…</w:t>
      </w:r>
      <w:r w:rsidR="00AC1254" w:rsidRPr="00912587">
        <w:t xml:space="preserve"> consultant, or their spouse (</w:t>
      </w:r>
      <w:proofErr w:type="spellStart"/>
      <w:r w:rsidR="00AC1254" w:rsidRPr="00912587">
        <w:t>i</w:t>
      </w:r>
      <w:proofErr w:type="spellEnd"/>
      <w:r w:rsidR="00AC1254" w:rsidRPr="00912587">
        <w:t xml:space="preserve">) has any direct interest in the income, gains, or profits of the investment adviser through which the investment transaction is made or (ii) has a relationship with that investment adviser that would result in a pecuniary benefit to the </w:t>
      </w:r>
      <w:r w:rsidR="006E1388">
        <w:t>…</w:t>
      </w:r>
      <w:r w:rsidR="00AC1254" w:rsidRPr="00912587">
        <w:t xml:space="preserve"> consultant or spouse of such </w:t>
      </w:r>
      <w:r w:rsidR="006E1388">
        <w:t>…</w:t>
      </w:r>
      <w:r w:rsidR="00AC1254" w:rsidRPr="00912587">
        <w:t xml:space="preserve"> consultant as a result of the investment transaction.</w:t>
      </w:r>
      <w:r w:rsidR="00AC1254">
        <w:t xml:space="preserve"> </w:t>
      </w:r>
      <w:r w:rsidR="00AC1254" w:rsidRPr="002F77F1">
        <w:t>For purposes of this subsection (e), a consultant includes an employee or agent of a consulting firm who has greater than 7.5% ownership of the consulting firm.</w:t>
      </w:r>
      <w:r w:rsidR="006E1388">
        <w:t>”</w:t>
      </w:r>
    </w:p>
    <w:p w14:paraId="08A31D33" w14:textId="464800C2" w:rsidR="00AC1254" w:rsidRPr="00AC1254" w:rsidRDefault="0000465E" w:rsidP="00C329B7">
      <w:pPr>
        <w:spacing w:after="240" w:line="240" w:lineRule="auto"/>
        <w:ind w:left="720"/>
        <w:jc w:val="both"/>
        <w:rPr>
          <w:rFonts w:cstheme="minorHAnsi"/>
        </w:rPr>
      </w:pPr>
      <w:r>
        <w:rPr>
          <w:rFonts w:cstheme="minorHAnsi"/>
        </w:rPr>
        <w:t>Disclose and provide details of</w:t>
      </w:r>
      <w:r w:rsidR="00BB62C8">
        <w:rPr>
          <w:rFonts w:cstheme="minorHAnsi"/>
        </w:rPr>
        <w:t xml:space="preserve"> </w:t>
      </w:r>
      <w:r w:rsidR="000875F5">
        <w:rPr>
          <w:rFonts w:cstheme="minorHAnsi"/>
        </w:rPr>
        <w:t xml:space="preserve">any </w:t>
      </w:r>
      <w:r w:rsidR="001A64D7">
        <w:rPr>
          <w:rFonts w:cstheme="minorHAnsi"/>
        </w:rPr>
        <w:t>investment management services or investment products</w:t>
      </w:r>
      <w:r w:rsidR="00714100">
        <w:rPr>
          <w:rFonts w:cstheme="minorHAnsi"/>
        </w:rPr>
        <w:t xml:space="preserve"> </w:t>
      </w:r>
      <w:r w:rsidR="00BB62C8">
        <w:rPr>
          <w:rFonts w:cstheme="minorHAnsi"/>
        </w:rPr>
        <w:t xml:space="preserve">offered by the Investment Consultant </w:t>
      </w:r>
      <w:r w:rsidR="00714100">
        <w:rPr>
          <w:rFonts w:cstheme="minorHAnsi"/>
        </w:rPr>
        <w:t xml:space="preserve">and whether, </w:t>
      </w:r>
      <w:r w:rsidR="008461D1">
        <w:rPr>
          <w:rFonts w:cstheme="minorHAnsi"/>
        </w:rPr>
        <w:t xml:space="preserve">if the Investment Consultant </w:t>
      </w:r>
      <w:r w:rsidR="00B04332">
        <w:rPr>
          <w:rFonts w:cstheme="minorHAnsi"/>
        </w:rPr>
        <w:t>is</w:t>
      </w:r>
      <w:r w:rsidR="008461D1">
        <w:rPr>
          <w:rFonts w:cstheme="minorHAnsi"/>
        </w:rPr>
        <w:t xml:space="preserve"> engaged by IPOPIF to provide consulting services, </w:t>
      </w:r>
      <w:r w:rsidR="00030059">
        <w:rPr>
          <w:rFonts w:cstheme="minorHAnsi"/>
        </w:rPr>
        <w:t xml:space="preserve">it would be prohibited from </w:t>
      </w:r>
      <w:r w:rsidR="00427C8B">
        <w:rPr>
          <w:rFonts w:cstheme="minorHAnsi"/>
        </w:rPr>
        <w:t xml:space="preserve">causing or advising IPOPIF to engage </w:t>
      </w:r>
      <w:r w:rsidR="002A673D">
        <w:rPr>
          <w:rFonts w:cstheme="minorHAnsi"/>
        </w:rPr>
        <w:t>the Investment Consultant for such</w:t>
      </w:r>
      <w:r w:rsidR="009A36B3">
        <w:rPr>
          <w:rFonts w:cstheme="minorHAnsi"/>
        </w:rPr>
        <w:t xml:space="preserve"> investment manage</w:t>
      </w:r>
      <w:r w:rsidR="002A673D">
        <w:rPr>
          <w:rFonts w:cstheme="minorHAnsi"/>
        </w:rPr>
        <w:t>ment services</w:t>
      </w:r>
      <w:r w:rsidR="009A36B3">
        <w:rPr>
          <w:rFonts w:cstheme="minorHAnsi"/>
        </w:rPr>
        <w:t xml:space="preserve"> or investment products </w:t>
      </w:r>
      <w:proofErr w:type="gramStart"/>
      <w:r w:rsidR="009A36B3">
        <w:rPr>
          <w:rFonts w:cstheme="minorHAnsi"/>
        </w:rPr>
        <w:t>as a result of</w:t>
      </w:r>
      <w:proofErr w:type="gramEnd"/>
      <w:r w:rsidR="009A36B3">
        <w:rPr>
          <w:rFonts w:cstheme="minorHAnsi"/>
        </w:rPr>
        <w:t xml:space="preserve"> Section 1-110(e).  If </w:t>
      </w:r>
      <w:r w:rsidR="00C329B7">
        <w:rPr>
          <w:rFonts w:cstheme="minorHAnsi"/>
        </w:rPr>
        <w:t xml:space="preserve">not, explain why. </w:t>
      </w:r>
    </w:p>
    <w:p w14:paraId="15826667" w14:textId="382D639B" w:rsidR="008216DB" w:rsidRDefault="008216DB" w:rsidP="0009532B">
      <w:pPr>
        <w:pStyle w:val="ListParagraph"/>
        <w:numPr>
          <w:ilvl w:val="0"/>
          <w:numId w:val="1"/>
        </w:numPr>
        <w:spacing w:after="240" w:line="240" w:lineRule="auto"/>
        <w:ind w:hanging="540"/>
        <w:contextualSpacing w:val="0"/>
        <w:jc w:val="both"/>
        <w:rPr>
          <w:rFonts w:cstheme="minorHAnsi"/>
        </w:rPr>
      </w:pPr>
      <w:r w:rsidRPr="008216DB">
        <w:rPr>
          <w:rFonts w:cstheme="minorHAnsi"/>
        </w:rPr>
        <w:t xml:space="preserve">Pursuant to Section 20(e) of the Illinois Sustainable Investing Act, 30 ILCS 238/1, et seq., a </w:t>
      </w:r>
      <w:r>
        <w:rPr>
          <w:rFonts w:cstheme="minorHAnsi"/>
        </w:rPr>
        <w:t>describe</w:t>
      </w:r>
      <w:r w:rsidRPr="008216DB">
        <w:rPr>
          <w:rFonts w:cstheme="minorHAnsi"/>
        </w:rPr>
        <w:t xml:space="preserve"> any process through which the Investment </w:t>
      </w:r>
      <w:r>
        <w:rPr>
          <w:rFonts w:cstheme="minorHAnsi"/>
        </w:rPr>
        <w:t>Consultant</w:t>
      </w:r>
      <w:r w:rsidRPr="008216DB">
        <w:rPr>
          <w:rFonts w:cstheme="minorHAnsi"/>
        </w:rPr>
        <w:t xml:space="preserve"> prudently integrates the following sustainability factors into their investment decision-making, investment analysis, portfolio construction, due diligence, and investment ownership in order to maximize anticipated risk-adjusted financial returns, identify projected risk, and execute the Investment </w:t>
      </w:r>
      <w:r>
        <w:rPr>
          <w:rFonts w:cstheme="minorHAnsi"/>
        </w:rPr>
        <w:t>Consultant’s</w:t>
      </w:r>
      <w:r w:rsidRPr="008216DB">
        <w:rPr>
          <w:rFonts w:cstheme="minorHAnsi"/>
        </w:rPr>
        <w:t xml:space="preserve"> fiduciary duties:</w:t>
      </w:r>
    </w:p>
    <w:p w14:paraId="4A16AE03" w14:textId="7EB0EE72" w:rsidR="008216DB" w:rsidRDefault="00C408E6" w:rsidP="008216DB">
      <w:pPr>
        <w:pStyle w:val="ListParagraph"/>
        <w:numPr>
          <w:ilvl w:val="1"/>
          <w:numId w:val="1"/>
        </w:numPr>
        <w:spacing w:after="240" w:line="240" w:lineRule="auto"/>
        <w:contextualSpacing w:val="0"/>
        <w:jc w:val="both"/>
        <w:rPr>
          <w:rFonts w:cstheme="minorHAnsi"/>
        </w:rPr>
      </w:pPr>
      <w:r w:rsidRPr="00C408E6">
        <w:rPr>
          <w:rFonts w:cstheme="minorHAnsi"/>
        </w:rPr>
        <w:t>Corporate governance and leadership factors, such as the independence of boards and auditors, the expertise and competence of corporate boards and executives, systemic risk management practices, executive compensation structures, transparency and reporting, leadership diversity, regulatory and legal compliance, shareholder rights, and ethical conduct.</w:t>
      </w:r>
    </w:p>
    <w:p w14:paraId="63555BC1" w14:textId="708FA342" w:rsidR="00C408E6" w:rsidRDefault="00C408E6" w:rsidP="008216DB">
      <w:pPr>
        <w:pStyle w:val="ListParagraph"/>
        <w:numPr>
          <w:ilvl w:val="1"/>
          <w:numId w:val="1"/>
        </w:numPr>
        <w:spacing w:after="240" w:line="240" w:lineRule="auto"/>
        <w:contextualSpacing w:val="0"/>
        <w:jc w:val="both"/>
        <w:rPr>
          <w:rFonts w:cstheme="minorHAnsi"/>
        </w:rPr>
      </w:pPr>
      <w:r w:rsidRPr="00C408E6">
        <w:rPr>
          <w:rFonts w:cstheme="minorHAnsi"/>
        </w:rPr>
        <w:t>Environmental factors that may have an adverse or positive financial impact on investment performance, such as greenhouse gas emissions, air quality, energy management, water and wastewater management, waste and hazardous materials management, and ecological impacts.</w:t>
      </w:r>
    </w:p>
    <w:p w14:paraId="0A893C3C" w14:textId="303838B2" w:rsidR="00C408E6" w:rsidRDefault="00C408E6" w:rsidP="008216DB">
      <w:pPr>
        <w:pStyle w:val="ListParagraph"/>
        <w:numPr>
          <w:ilvl w:val="1"/>
          <w:numId w:val="1"/>
        </w:numPr>
        <w:spacing w:after="240" w:line="240" w:lineRule="auto"/>
        <w:contextualSpacing w:val="0"/>
        <w:jc w:val="both"/>
        <w:rPr>
          <w:rFonts w:cstheme="minorHAnsi"/>
        </w:rPr>
      </w:pPr>
      <w:r w:rsidRPr="00C408E6">
        <w:rPr>
          <w:rFonts w:cstheme="minorHAnsi"/>
        </w:rPr>
        <w:t xml:space="preserve">Social capital factors that impact relationships with key outside parties, such as customers, local communities, the public, and the government, which may impact investment performance. Social capital factors include human rights, customer welfare, customer privacy, data security, access and affordability, selling </w:t>
      </w:r>
      <w:proofErr w:type="gramStart"/>
      <w:r w:rsidRPr="00C408E6">
        <w:rPr>
          <w:rFonts w:cstheme="minorHAnsi"/>
        </w:rPr>
        <w:t>practices, and</w:t>
      </w:r>
      <w:proofErr w:type="gramEnd"/>
      <w:r w:rsidRPr="00C408E6">
        <w:rPr>
          <w:rFonts w:cstheme="minorHAnsi"/>
        </w:rPr>
        <w:t xml:space="preserve"> product labeling, community reinvestment, and community relations.</w:t>
      </w:r>
    </w:p>
    <w:p w14:paraId="658F73FF" w14:textId="406893A3" w:rsidR="00C408E6" w:rsidRDefault="00C408E6" w:rsidP="008216DB">
      <w:pPr>
        <w:pStyle w:val="ListParagraph"/>
        <w:numPr>
          <w:ilvl w:val="1"/>
          <w:numId w:val="1"/>
        </w:numPr>
        <w:spacing w:after="240" w:line="240" w:lineRule="auto"/>
        <w:contextualSpacing w:val="0"/>
        <w:jc w:val="both"/>
        <w:rPr>
          <w:rFonts w:cstheme="minorHAnsi"/>
        </w:rPr>
      </w:pPr>
      <w:r w:rsidRPr="00C408E6">
        <w:rPr>
          <w:rFonts w:cstheme="minorHAnsi"/>
        </w:rPr>
        <w:t xml:space="preserve">Human capital factors that recognize that the workforce is an important asset to delivering long-term value, including factors such as labor practices, responsible </w:t>
      </w:r>
      <w:r w:rsidRPr="00C408E6">
        <w:rPr>
          <w:rFonts w:cstheme="minorHAnsi"/>
        </w:rPr>
        <w:lastRenderedPageBreak/>
        <w:t>contractor and responsible bidder policies, employee health and safety, employee engagement, diversity and inclusion, and incentives and compensation.</w:t>
      </w:r>
    </w:p>
    <w:p w14:paraId="58EE999A" w14:textId="5F263E2C" w:rsidR="005C0852" w:rsidRDefault="005C0852" w:rsidP="008216DB">
      <w:pPr>
        <w:pStyle w:val="ListParagraph"/>
        <w:numPr>
          <w:ilvl w:val="1"/>
          <w:numId w:val="1"/>
        </w:numPr>
        <w:spacing w:after="240" w:line="240" w:lineRule="auto"/>
        <w:contextualSpacing w:val="0"/>
        <w:jc w:val="both"/>
        <w:rPr>
          <w:rFonts w:cstheme="minorHAnsi"/>
        </w:rPr>
      </w:pPr>
      <w:r w:rsidRPr="005C0852">
        <w:rPr>
          <w:rFonts w:cstheme="minorHAnsi"/>
        </w:rPr>
        <w:t>Business model and innovation factors that reflect an ability to plan and forecast opportunities and risks, and whether a company can create long-term shareholder value, including factors such as supply chain management, materials sourcing and efficiency, business model resilience, product design and life cycle management, and physical impacts of climate change.</w:t>
      </w:r>
    </w:p>
    <w:p w14:paraId="6455AE3B" w14:textId="1750E589" w:rsidR="002C2E45" w:rsidRPr="00CA133C" w:rsidRDefault="002C2E45" w:rsidP="0009532B">
      <w:pPr>
        <w:pStyle w:val="ListParagraph"/>
        <w:numPr>
          <w:ilvl w:val="0"/>
          <w:numId w:val="1"/>
        </w:numPr>
        <w:spacing w:after="240" w:line="240" w:lineRule="auto"/>
        <w:ind w:hanging="540"/>
        <w:contextualSpacing w:val="0"/>
        <w:jc w:val="both"/>
        <w:rPr>
          <w:rFonts w:cstheme="minorHAnsi"/>
        </w:rPr>
      </w:pPr>
      <w:r>
        <w:rPr>
          <w:rFonts w:cstheme="minorHAnsi"/>
        </w:rPr>
        <w:t>The</w:t>
      </w:r>
      <w:r w:rsidRPr="00C2153E">
        <w:rPr>
          <w:rFonts w:cstheme="minorHAnsi"/>
        </w:rPr>
        <w:t xml:space="preserve"> disclosure of all political contributions to support candidates for office in Illinois by the candidate firm, its officers, directors, and employees.  The candidate should certify that all political contributions for all offices in all states by the candidate firm, its officers, directors, and employees were made in accordance with the provisions of, if applicable, the Election Code, 10 ILCS 5/1-1 </w:t>
      </w:r>
      <w:r w:rsidRPr="00C2153E">
        <w:rPr>
          <w:rFonts w:cstheme="minorHAnsi"/>
          <w:i/>
          <w:u w:val="single"/>
        </w:rPr>
        <w:t>et seq</w:t>
      </w:r>
      <w:r w:rsidRPr="00C2153E">
        <w:rPr>
          <w:rFonts w:cstheme="minorHAnsi"/>
        </w:rPr>
        <w:t>., as amended, and Section 206 of the Investment Advisers Act of 1940 and SEC Rule 206(4)-5 (16 CFR 275.206(4)-5), as amended.</w:t>
      </w:r>
    </w:p>
    <w:p w14:paraId="07A68BE5" w14:textId="2965F3EC" w:rsidR="00CA133C" w:rsidRPr="00C2153E" w:rsidRDefault="00CA133C" w:rsidP="0009532B">
      <w:pPr>
        <w:pStyle w:val="ListParagraph"/>
        <w:numPr>
          <w:ilvl w:val="0"/>
          <w:numId w:val="1"/>
        </w:numPr>
        <w:spacing w:after="240" w:line="240" w:lineRule="auto"/>
        <w:ind w:hanging="540"/>
        <w:contextualSpacing w:val="0"/>
        <w:jc w:val="both"/>
        <w:rPr>
          <w:rFonts w:cstheme="minorHAnsi"/>
        </w:rPr>
      </w:pPr>
      <w:bookmarkStart w:id="1" w:name="_Hlk77598222"/>
      <w:r>
        <w:rPr>
          <w:spacing w:val="-2"/>
        </w:rPr>
        <w:t xml:space="preserve">The Investment </w:t>
      </w:r>
      <w:r w:rsidR="0009532B">
        <w:rPr>
          <w:spacing w:val="-2"/>
        </w:rPr>
        <w:t>Consultant</w:t>
      </w:r>
      <w:r>
        <w:rPr>
          <w:spacing w:val="-2"/>
        </w:rPr>
        <w:t xml:space="preserve"> shall disclose and provide the details of any actions, proceedings, or investigations threatened or pending before any tribunal, arbitrator, court or governmental authority, including without limitation, the SEC, FINRA, any state securities regulatory authority or any other regulatory authority having jurisdiction over the company or its affiliates, against or relating to the company, its affiliates, or the officers or directors of the company or its affiliates claiming or alleging:  (</w:t>
      </w:r>
      <w:proofErr w:type="spellStart"/>
      <w:r>
        <w:rPr>
          <w:spacing w:val="-2"/>
        </w:rPr>
        <w:t>i</w:t>
      </w:r>
      <w:proofErr w:type="spellEnd"/>
      <w:r>
        <w:rPr>
          <w:spacing w:val="-2"/>
        </w:rPr>
        <w:t>) fraud; (ii) violation of any federal or state securities law, rule, or regulation, or (iii) breach of fiduciary duties.</w:t>
      </w:r>
      <w:bookmarkEnd w:id="1"/>
    </w:p>
    <w:sectPr w:rsidR="00CA133C" w:rsidRPr="00C2153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5D723" w14:textId="77777777" w:rsidR="00AC5A0F" w:rsidRDefault="00AC5A0F">
      <w:pPr>
        <w:spacing w:after="0" w:line="240" w:lineRule="auto"/>
      </w:pPr>
      <w:r>
        <w:separator/>
      </w:r>
    </w:p>
  </w:endnote>
  <w:endnote w:type="continuationSeparator" w:id="0">
    <w:p w14:paraId="62C7FD99" w14:textId="77777777" w:rsidR="00AC5A0F" w:rsidRDefault="00AC5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Expressway Bk">
    <w:altName w:val="Calibri"/>
    <w:charset w:val="00"/>
    <w:family w:val="swiss"/>
    <w:pitch w:val="variable"/>
    <w:sig w:usb0="A00002AF" w:usb1="5000000A"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4C951" w14:textId="77777777" w:rsidR="00317853" w:rsidRDefault="00317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4310760"/>
      <w:docPartObj>
        <w:docPartGallery w:val="Page Numbers (Bottom of Page)"/>
        <w:docPartUnique/>
      </w:docPartObj>
    </w:sdtPr>
    <w:sdtEndPr>
      <w:rPr>
        <w:noProof/>
      </w:rPr>
    </w:sdtEndPr>
    <w:sdtContent>
      <w:p w14:paraId="4B434A25" w14:textId="77777777" w:rsidR="00152190" w:rsidRDefault="00152190" w:rsidP="00152190">
        <w:pPr>
          <w:pStyle w:val="Footer"/>
        </w:pPr>
        <w:r>
          <w:t>IPOPIF General Investment Consultant RFP</w:t>
        </w:r>
        <w:r>
          <w:tab/>
        </w:r>
        <w:r>
          <w:tab/>
          <w:t xml:space="preserve">Page </w:t>
        </w:r>
        <w:r>
          <w:fldChar w:fldCharType="begin"/>
        </w:r>
        <w:r>
          <w:instrText xml:space="preserve"> PAGE  \* Arabic  \* MERGEFORMAT </w:instrText>
        </w:r>
        <w:r>
          <w:fldChar w:fldCharType="separate"/>
        </w:r>
        <w:r>
          <w:t>1</w:t>
        </w:r>
        <w:r>
          <w:fldChar w:fldCharType="end"/>
        </w:r>
        <w:r>
          <w:t xml:space="preserve"> of </w:t>
        </w:r>
        <w:fldSimple w:instr=" NUMPAGES   \* MERGEFORMAT ">
          <w:r>
            <w:t>3</w:t>
          </w:r>
        </w:fldSimple>
      </w:p>
      <w:p w14:paraId="5E0DD804" w14:textId="21E44D2A" w:rsidR="2825D857" w:rsidRDefault="00152190" w:rsidP="2825D857">
        <w:pPr>
          <w:pStyle w:val="Footer"/>
        </w:pPr>
        <w:r>
          <w:t>Exhibit 5 – Disclosures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F6388" w14:textId="77777777" w:rsidR="00317853" w:rsidRDefault="00317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B7B1D" w14:textId="77777777" w:rsidR="00AC5A0F" w:rsidRDefault="00AC5A0F">
      <w:pPr>
        <w:spacing w:after="0" w:line="240" w:lineRule="auto"/>
      </w:pPr>
      <w:r>
        <w:separator/>
      </w:r>
    </w:p>
  </w:footnote>
  <w:footnote w:type="continuationSeparator" w:id="0">
    <w:p w14:paraId="50DB0E92" w14:textId="77777777" w:rsidR="00AC5A0F" w:rsidRDefault="00AC5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D250" w14:textId="77777777" w:rsidR="00317853" w:rsidRDefault="003178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825D857" w14:paraId="694CDBC5" w14:textId="77777777" w:rsidTr="2825D857">
      <w:trPr>
        <w:trHeight w:val="300"/>
      </w:trPr>
      <w:tc>
        <w:tcPr>
          <w:tcW w:w="3120" w:type="dxa"/>
        </w:tcPr>
        <w:p w14:paraId="1D4B86EC" w14:textId="3B90BD9F" w:rsidR="2825D857" w:rsidRDefault="2825D857" w:rsidP="2825D857">
          <w:pPr>
            <w:pStyle w:val="Header"/>
            <w:ind w:left="-115"/>
          </w:pPr>
        </w:p>
      </w:tc>
      <w:tc>
        <w:tcPr>
          <w:tcW w:w="3120" w:type="dxa"/>
        </w:tcPr>
        <w:p w14:paraId="33CE4E21" w14:textId="2A33DE03" w:rsidR="2825D857" w:rsidRDefault="2825D857" w:rsidP="2825D857">
          <w:pPr>
            <w:pStyle w:val="Header"/>
            <w:jc w:val="center"/>
          </w:pPr>
        </w:p>
      </w:tc>
      <w:tc>
        <w:tcPr>
          <w:tcW w:w="3120" w:type="dxa"/>
        </w:tcPr>
        <w:p w14:paraId="3266FF6E" w14:textId="267A7E76" w:rsidR="2825D857" w:rsidRDefault="2825D857" w:rsidP="2825D857">
          <w:pPr>
            <w:pStyle w:val="Header"/>
            <w:ind w:right="-115"/>
            <w:jc w:val="right"/>
          </w:pPr>
        </w:p>
      </w:tc>
    </w:tr>
  </w:tbl>
  <w:p w14:paraId="0B49042B" w14:textId="28CF2F37" w:rsidR="2825D857" w:rsidRDefault="2825D857" w:rsidP="2825D8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9102E" w14:textId="77777777" w:rsidR="00317853" w:rsidRDefault="003178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0C17"/>
    <w:multiLevelType w:val="hybridMultilevel"/>
    <w:tmpl w:val="4502C50C"/>
    <w:lvl w:ilvl="0" w:tplc="0409000F">
      <w:start w:val="1"/>
      <w:numFmt w:val="decimal"/>
      <w:lvlText w:val="%1."/>
      <w:lvlJc w:val="left"/>
      <w:pPr>
        <w:ind w:left="820" w:hanging="720"/>
      </w:pPr>
      <w:rPr>
        <w:rFonts w:cs="Times New Roman" w:hint="default"/>
        <w:spacing w:val="-4"/>
        <w:w w:val="110"/>
        <w:sz w:val="20"/>
        <w:szCs w:val="20"/>
      </w:rPr>
    </w:lvl>
    <w:lvl w:ilvl="1" w:tplc="9E5CD280">
      <w:start w:val="1"/>
      <w:numFmt w:val="lowerLetter"/>
      <w:lvlText w:val="%2)"/>
      <w:lvlJc w:val="left"/>
      <w:pPr>
        <w:ind w:left="820" w:hanging="360"/>
      </w:pPr>
      <w:rPr>
        <w:rFonts w:ascii="Times New Roman" w:eastAsia="Times New Roman" w:hAnsi="Times New Roman" w:hint="default"/>
        <w:w w:val="113"/>
        <w:sz w:val="20"/>
        <w:szCs w:val="20"/>
      </w:rPr>
    </w:lvl>
    <w:lvl w:ilvl="2" w:tplc="124C2A58">
      <w:start w:val="1"/>
      <w:numFmt w:val="bullet"/>
      <w:lvlText w:val="•"/>
      <w:lvlJc w:val="left"/>
      <w:pPr>
        <w:ind w:left="2568" w:hanging="360"/>
      </w:pPr>
      <w:rPr>
        <w:rFonts w:hint="default"/>
      </w:rPr>
    </w:lvl>
    <w:lvl w:ilvl="3" w:tplc="E4786648">
      <w:start w:val="1"/>
      <w:numFmt w:val="bullet"/>
      <w:lvlText w:val="•"/>
      <w:lvlJc w:val="left"/>
      <w:pPr>
        <w:ind w:left="3442" w:hanging="360"/>
      </w:pPr>
      <w:rPr>
        <w:rFonts w:hint="default"/>
      </w:rPr>
    </w:lvl>
    <w:lvl w:ilvl="4" w:tplc="6FB4D448">
      <w:start w:val="1"/>
      <w:numFmt w:val="bullet"/>
      <w:lvlText w:val="•"/>
      <w:lvlJc w:val="left"/>
      <w:pPr>
        <w:ind w:left="4316" w:hanging="360"/>
      </w:pPr>
      <w:rPr>
        <w:rFonts w:hint="default"/>
      </w:rPr>
    </w:lvl>
    <w:lvl w:ilvl="5" w:tplc="72361CF0">
      <w:start w:val="1"/>
      <w:numFmt w:val="bullet"/>
      <w:lvlText w:val="•"/>
      <w:lvlJc w:val="left"/>
      <w:pPr>
        <w:ind w:left="5190" w:hanging="360"/>
      </w:pPr>
      <w:rPr>
        <w:rFonts w:hint="default"/>
      </w:rPr>
    </w:lvl>
    <w:lvl w:ilvl="6" w:tplc="7A1ACDC4">
      <w:start w:val="1"/>
      <w:numFmt w:val="bullet"/>
      <w:lvlText w:val="•"/>
      <w:lvlJc w:val="left"/>
      <w:pPr>
        <w:ind w:left="6064" w:hanging="360"/>
      </w:pPr>
      <w:rPr>
        <w:rFonts w:hint="default"/>
      </w:rPr>
    </w:lvl>
    <w:lvl w:ilvl="7" w:tplc="95EE677A">
      <w:start w:val="1"/>
      <w:numFmt w:val="bullet"/>
      <w:lvlText w:val="•"/>
      <w:lvlJc w:val="left"/>
      <w:pPr>
        <w:ind w:left="6938" w:hanging="360"/>
      </w:pPr>
      <w:rPr>
        <w:rFonts w:hint="default"/>
      </w:rPr>
    </w:lvl>
    <w:lvl w:ilvl="8" w:tplc="4C80327A">
      <w:start w:val="1"/>
      <w:numFmt w:val="bullet"/>
      <w:lvlText w:val="•"/>
      <w:lvlJc w:val="left"/>
      <w:pPr>
        <w:ind w:left="7812" w:hanging="360"/>
      </w:pPr>
      <w:rPr>
        <w:rFonts w:hint="default"/>
      </w:rPr>
    </w:lvl>
  </w:abstractNum>
  <w:abstractNum w:abstractNumId="1" w15:restartNumberingAfterBreak="0">
    <w:nsid w:val="04002DF0"/>
    <w:multiLevelType w:val="hybridMultilevel"/>
    <w:tmpl w:val="156655D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C4001"/>
    <w:multiLevelType w:val="hybridMultilevel"/>
    <w:tmpl w:val="BC9E875E"/>
    <w:lvl w:ilvl="0" w:tplc="04090019">
      <w:start w:val="1"/>
      <w:numFmt w:val="lowerLetter"/>
      <w:lvlText w:val="%1."/>
      <w:lvlJc w:val="left"/>
      <w:pPr>
        <w:ind w:left="2880" w:hanging="360"/>
      </w:pPr>
      <w:rPr>
        <w:rFonts w:hint="default"/>
      </w:rPr>
    </w:lvl>
    <w:lvl w:ilvl="1" w:tplc="51B01F10">
      <w:start w:val="1"/>
      <w:numFmt w:val="lowerLetter"/>
      <w:lvlText w:val="%2."/>
      <w:lvlJc w:val="left"/>
      <w:pPr>
        <w:ind w:left="3600" w:hanging="360"/>
      </w:pPr>
    </w:lvl>
    <w:lvl w:ilvl="2" w:tplc="340C2406">
      <w:start w:val="1"/>
      <w:numFmt w:val="lowerRoman"/>
      <w:lvlText w:val="%3."/>
      <w:lvlJc w:val="right"/>
      <w:pPr>
        <w:ind w:left="4320" w:hanging="180"/>
      </w:pPr>
    </w:lvl>
    <w:lvl w:ilvl="3" w:tplc="77C67622">
      <w:start w:val="1"/>
      <w:numFmt w:val="decimal"/>
      <w:lvlText w:val="%4."/>
      <w:lvlJc w:val="left"/>
      <w:pPr>
        <w:ind w:left="5040" w:hanging="360"/>
      </w:pPr>
    </w:lvl>
    <w:lvl w:ilvl="4" w:tplc="5E56A050">
      <w:start w:val="1"/>
      <w:numFmt w:val="lowerLetter"/>
      <w:lvlText w:val="%5."/>
      <w:lvlJc w:val="left"/>
      <w:pPr>
        <w:ind w:left="5760" w:hanging="360"/>
      </w:pPr>
    </w:lvl>
    <w:lvl w:ilvl="5" w:tplc="B8EA5A2E">
      <w:start w:val="1"/>
      <w:numFmt w:val="lowerRoman"/>
      <w:lvlText w:val="%6."/>
      <w:lvlJc w:val="right"/>
      <w:pPr>
        <w:ind w:left="6480" w:hanging="180"/>
      </w:pPr>
    </w:lvl>
    <w:lvl w:ilvl="6" w:tplc="1D0E161C">
      <w:start w:val="1"/>
      <w:numFmt w:val="decimal"/>
      <w:lvlText w:val="%7."/>
      <w:lvlJc w:val="left"/>
      <w:pPr>
        <w:ind w:left="7200" w:hanging="360"/>
      </w:pPr>
    </w:lvl>
    <w:lvl w:ilvl="7" w:tplc="84BA3E84">
      <w:start w:val="1"/>
      <w:numFmt w:val="lowerLetter"/>
      <w:lvlText w:val="%8."/>
      <w:lvlJc w:val="left"/>
      <w:pPr>
        <w:ind w:left="7920" w:hanging="360"/>
      </w:pPr>
    </w:lvl>
    <w:lvl w:ilvl="8" w:tplc="D9EAA61E">
      <w:start w:val="1"/>
      <w:numFmt w:val="lowerRoman"/>
      <w:lvlText w:val="%9."/>
      <w:lvlJc w:val="right"/>
      <w:pPr>
        <w:ind w:left="8640" w:hanging="180"/>
      </w:pPr>
    </w:lvl>
  </w:abstractNum>
  <w:abstractNum w:abstractNumId="3" w15:restartNumberingAfterBreak="0">
    <w:nsid w:val="2389059D"/>
    <w:multiLevelType w:val="hybridMultilevel"/>
    <w:tmpl w:val="EA102B72"/>
    <w:lvl w:ilvl="0" w:tplc="DB48192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0403198"/>
    <w:multiLevelType w:val="multilevel"/>
    <w:tmpl w:val="A88226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A2967BE"/>
    <w:multiLevelType w:val="multilevel"/>
    <w:tmpl w:val="50D210C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3D1A44FC"/>
    <w:multiLevelType w:val="hybridMultilevel"/>
    <w:tmpl w:val="67E8BE38"/>
    <w:lvl w:ilvl="0" w:tplc="07466F02">
      <w:start w:val="1"/>
      <w:numFmt w:val="decimal"/>
      <w:lvlText w:val="%1."/>
      <w:lvlJc w:val="left"/>
      <w:pPr>
        <w:ind w:left="1000" w:hanging="361"/>
      </w:pPr>
      <w:rPr>
        <w:rFonts w:ascii="Expressway Bk" w:eastAsia="Expressway Bk" w:hAnsi="Expressway Bk" w:cs="Expressway Bk" w:hint="default"/>
        <w:b w:val="0"/>
        <w:bCs w:val="0"/>
        <w:i w:val="0"/>
        <w:iCs w:val="0"/>
        <w:spacing w:val="0"/>
        <w:w w:val="99"/>
        <w:sz w:val="20"/>
        <w:szCs w:val="20"/>
        <w:lang w:val="en-US" w:eastAsia="en-US" w:bidi="ar-SA"/>
      </w:rPr>
    </w:lvl>
    <w:lvl w:ilvl="1" w:tplc="0D364EE8">
      <w:start w:val="1"/>
      <w:numFmt w:val="decimal"/>
      <w:lvlText w:val="%2."/>
      <w:lvlJc w:val="left"/>
      <w:pPr>
        <w:ind w:left="1720" w:hanging="720"/>
      </w:pPr>
      <w:rPr>
        <w:rFonts w:ascii="Times New Roman" w:eastAsia="Times New Roman" w:hAnsi="Times New Roman" w:cs="Times New Roman" w:hint="default"/>
        <w:b w:val="0"/>
        <w:bCs w:val="0"/>
        <w:i w:val="0"/>
        <w:iCs w:val="0"/>
        <w:w w:val="100"/>
        <w:sz w:val="24"/>
        <w:szCs w:val="24"/>
        <w:lang w:val="en-US" w:eastAsia="en-US" w:bidi="ar-SA"/>
      </w:rPr>
    </w:lvl>
    <w:lvl w:ilvl="2" w:tplc="960CCB2C">
      <w:start w:val="1"/>
      <w:numFmt w:val="upperLetter"/>
      <w:lvlText w:val="%3."/>
      <w:lvlJc w:val="left"/>
      <w:pPr>
        <w:ind w:left="208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3" w:tplc="FEC43A3A">
      <w:numFmt w:val="bullet"/>
      <w:lvlText w:val="•"/>
      <w:lvlJc w:val="left"/>
      <w:pPr>
        <w:ind w:left="3227" w:hanging="360"/>
      </w:pPr>
      <w:rPr>
        <w:rFonts w:hint="default"/>
        <w:lang w:val="en-US" w:eastAsia="en-US" w:bidi="ar-SA"/>
      </w:rPr>
    </w:lvl>
    <w:lvl w:ilvl="4" w:tplc="210AD8F8">
      <w:numFmt w:val="bullet"/>
      <w:lvlText w:val="•"/>
      <w:lvlJc w:val="left"/>
      <w:pPr>
        <w:ind w:left="4375" w:hanging="360"/>
      </w:pPr>
      <w:rPr>
        <w:rFonts w:hint="default"/>
        <w:lang w:val="en-US" w:eastAsia="en-US" w:bidi="ar-SA"/>
      </w:rPr>
    </w:lvl>
    <w:lvl w:ilvl="5" w:tplc="4B28CA5E">
      <w:numFmt w:val="bullet"/>
      <w:lvlText w:val="•"/>
      <w:lvlJc w:val="left"/>
      <w:pPr>
        <w:ind w:left="5522" w:hanging="360"/>
      </w:pPr>
      <w:rPr>
        <w:rFonts w:hint="default"/>
        <w:lang w:val="en-US" w:eastAsia="en-US" w:bidi="ar-SA"/>
      </w:rPr>
    </w:lvl>
    <w:lvl w:ilvl="6" w:tplc="F29626A4">
      <w:numFmt w:val="bullet"/>
      <w:lvlText w:val="•"/>
      <w:lvlJc w:val="left"/>
      <w:pPr>
        <w:ind w:left="6670" w:hanging="360"/>
      </w:pPr>
      <w:rPr>
        <w:rFonts w:hint="default"/>
        <w:lang w:val="en-US" w:eastAsia="en-US" w:bidi="ar-SA"/>
      </w:rPr>
    </w:lvl>
    <w:lvl w:ilvl="7" w:tplc="C25CC33E">
      <w:numFmt w:val="bullet"/>
      <w:lvlText w:val="•"/>
      <w:lvlJc w:val="left"/>
      <w:pPr>
        <w:ind w:left="7817" w:hanging="360"/>
      </w:pPr>
      <w:rPr>
        <w:rFonts w:hint="default"/>
        <w:lang w:val="en-US" w:eastAsia="en-US" w:bidi="ar-SA"/>
      </w:rPr>
    </w:lvl>
    <w:lvl w:ilvl="8" w:tplc="983835A2">
      <w:numFmt w:val="bullet"/>
      <w:lvlText w:val="•"/>
      <w:lvlJc w:val="left"/>
      <w:pPr>
        <w:ind w:left="8965" w:hanging="360"/>
      </w:pPr>
      <w:rPr>
        <w:rFonts w:hint="default"/>
        <w:lang w:val="en-US" w:eastAsia="en-US" w:bidi="ar-SA"/>
      </w:rPr>
    </w:lvl>
  </w:abstractNum>
  <w:abstractNum w:abstractNumId="7" w15:restartNumberingAfterBreak="0">
    <w:nsid w:val="3DE128CF"/>
    <w:multiLevelType w:val="multilevel"/>
    <w:tmpl w:val="B4EAE54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407B661A"/>
    <w:multiLevelType w:val="hybridMultilevel"/>
    <w:tmpl w:val="C7185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2A6CD8"/>
    <w:multiLevelType w:val="multilevel"/>
    <w:tmpl w:val="F43E859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54ED4940"/>
    <w:multiLevelType w:val="hybridMultilevel"/>
    <w:tmpl w:val="C3808F94"/>
    <w:lvl w:ilvl="0" w:tplc="8D267A84">
      <w:start w:val="1"/>
      <w:numFmt w:val="lowerLetter"/>
      <w:lvlText w:val="(%1)"/>
      <w:lvlJc w:val="left"/>
      <w:pPr>
        <w:ind w:left="1180" w:hanging="360"/>
      </w:pPr>
      <w:rPr>
        <w:rFonts w:ascii="Times New Roman" w:eastAsia="Times New Roman" w:hAnsi="Times New Roman" w:hint="default"/>
        <w:w w:val="89"/>
        <w:sz w:val="20"/>
        <w:szCs w:val="20"/>
      </w:rPr>
    </w:lvl>
    <w:lvl w:ilvl="1" w:tplc="76EA6432">
      <w:start w:val="1"/>
      <w:numFmt w:val="bullet"/>
      <w:lvlText w:val="•"/>
      <w:lvlJc w:val="left"/>
      <w:pPr>
        <w:ind w:left="2018" w:hanging="360"/>
      </w:pPr>
      <w:rPr>
        <w:rFonts w:hint="default"/>
      </w:rPr>
    </w:lvl>
    <w:lvl w:ilvl="2" w:tplc="52863D74">
      <w:start w:val="1"/>
      <w:numFmt w:val="bullet"/>
      <w:lvlText w:val="•"/>
      <w:lvlJc w:val="left"/>
      <w:pPr>
        <w:ind w:left="2856" w:hanging="360"/>
      </w:pPr>
      <w:rPr>
        <w:rFonts w:hint="default"/>
      </w:rPr>
    </w:lvl>
    <w:lvl w:ilvl="3" w:tplc="F9CE0186">
      <w:start w:val="1"/>
      <w:numFmt w:val="bullet"/>
      <w:lvlText w:val="•"/>
      <w:lvlJc w:val="left"/>
      <w:pPr>
        <w:ind w:left="3694" w:hanging="360"/>
      </w:pPr>
      <w:rPr>
        <w:rFonts w:hint="default"/>
      </w:rPr>
    </w:lvl>
    <w:lvl w:ilvl="4" w:tplc="AECEA2C2">
      <w:start w:val="1"/>
      <w:numFmt w:val="bullet"/>
      <w:lvlText w:val="•"/>
      <w:lvlJc w:val="left"/>
      <w:pPr>
        <w:ind w:left="4532" w:hanging="360"/>
      </w:pPr>
      <w:rPr>
        <w:rFonts w:hint="default"/>
      </w:rPr>
    </w:lvl>
    <w:lvl w:ilvl="5" w:tplc="6CCC39E2">
      <w:start w:val="1"/>
      <w:numFmt w:val="bullet"/>
      <w:lvlText w:val="•"/>
      <w:lvlJc w:val="left"/>
      <w:pPr>
        <w:ind w:left="5370" w:hanging="360"/>
      </w:pPr>
      <w:rPr>
        <w:rFonts w:hint="default"/>
      </w:rPr>
    </w:lvl>
    <w:lvl w:ilvl="6" w:tplc="1BAAC56E">
      <w:start w:val="1"/>
      <w:numFmt w:val="bullet"/>
      <w:lvlText w:val="•"/>
      <w:lvlJc w:val="left"/>
      <w:pPr>
        <w:ind w:left="6208" w:hanging="360"/>
      </w:pPr>
      <w:rPr>
        <w:rFonts w:hint="default"/>
      </w:rPr>
    </w:lvl>
    <w:lvl w:ilvl="7" w:tplc="B7A4BD78">
      <w:start w:val="1"/>
      <w:numFmt w:val="bullet"/>
      <w:lvlText w:val="•"/>
      <w:lvlJc w:val="left"/>
      <w:pPr>
        <w:ind w:left="7046" w:hanging="360"/>
      </w:pPr>
      <w:rPr>
        <w:rFonts w:hint="default"/>
      </w:rPr>
    </w:lvl>
    <w:lvl w:ilvl="8" w:tplc="5E86D342">
      <w:start w:val="1"/>
      <w:numFmt w:val="bullet"/>
      <w:lvlText w:val="•"/>
      <w:lvlJc w:val="left"/>
      <w:pPr>
        <w:ind w:left="7884" w:hanging="360"/>
      </w:pPr>
      <w:rPr>
        <w:rFonts w:hint="default"/>
      </w:rPr>
    </w:lvl>
  </w:abstractNum>
  <w:abstractNum w:abstractNumId="11" w15:restartNumberingAfterBreak="0">
    <w:nsid w:val="5EB504DF"/>
    <w:multiLevelType w:val="multilevel"/>
    <w:tmpl w:val="2BA008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FEA4D71"/>
    <w:multiLevelType w:val="multilevel"/>
    <w:tmpl w:val="5B9AB14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67224C42"/>
    <w:multiLevelType w:val="multilevel"/>
    <w:tmpl w:val="05E68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6993097">
    <w:abstractNumId w:val="1"/>
  </w:num>
  <w:num w:numId="2" w16cid:durableId="104351812">
    <w:abstractNumId w:val="0"/>
  </w:num>
  <w:num w:numId="3" w16cid:durableId="1355571862">
    <w:abstractNumId w:val="10"/>
    <w:lvlOverride w:ilvl="0">
      <w:startOverride w:val="1"/>
    </w:lvlOverride>
    <w:lvlOverride w:ilvl="1"/>
    <w:lvlOverride w:ilvl="2"/>
    <w:lvlOverride w:ilvl="3"/>
    <w:lvlOverride w:ilvl="4"/>
    <w:lvlOverride w:ilvl="5"/>
    <w:lvlOverride w:ilvl="6"/>
    <w:lvlOverride w:ilvl="7"/>
    <w:lvlOverride w:ilvl="8"/>
  </w:num>
  <w:num w:numId="4" w16cid:durableId="247858503">
    <w:abstractNumId w:val="8"/>
  </w:num>
  <w:num w:numId="5" w16cid:durableId="1714958953">
    <w:abstractNumId w:val="6"/>
  </w:num>
  <w:num w:numId="6" w16cid:durableId="1358968591">
    <w:abstractNumId w:val="13"/>
  </w:num>
  <w:num w:numId="7" w16cid:durableId="915475445">
    <w:abstractNumId w:val="4"/>
  </w:num>
  <w:num w:numId="8" w16cid:durableId="607007908">
    <w:abstractNumId w:val="11"/>
  </w:num>
  <w:num w:numId="9" w16cid:durableId="1065182151">
    <w:abstractNumId w:val="12"/>
  </w:num>
  <w:num w:numId="10" w16cid:durableId="1776560184">
    <w:abstractNumId w:val="5"/>
  </w:num>
  <w:num w:numId="11" w16cid:durableId="1084911066">
    <w:abstractNumId w:val="9"/>
  </w:num>
  <w:num w:numId="12" w16cid:durableId="766195514">
    <w:abstractNumId w:val="7"/>
  </w:num>
  <w:num w:numId="13" w16cid:durableId="220141080">
    <w:abstractNumId w:val="2"/>
  </w:num>
  <w:num w:numId="14" w16cid:durableId="77024588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17"/>
    <w:rsid w:val="0000465E"/>
    <w:rsid w:val="000155D1"/>
    <w:rsid w:val="0002248C"/>
    <w:rsid w:val="00030059"/>
    <w:rsid w:val="00071B73"/>
    <w:rsid w:val="00081E40"/>
    <w:rsid w:val="000875F5"/>
    <w:rsid w:val="0009532B"/>
    <w:rsid w:val="000A4796"/>
    <w:rsid w:val="000F399B"/>
    <w:rsid w:val="00152190"/>
    <w:rsid w:val="0017080D"/>
    <w:rsid w:val="00197029"/>
    <w:rsid w:val="001A2132"/>
    <w:rsid w:val="001A64D7"/>
    <w:rsid w:val="001D75C5"/>
    <w:rsid w:val="00254A48"/>
    <w:rsid w:val="002551A2"/>
    <w:rsid w:val="00260CEE"/>
    <w:rsid w:val="00265C4E"/>
    <w:rsid w:val="002703DE"/>
    <w:rsid w:val="00270915"/>
    <w:rsid w:val="00281849"/>
    <w:rsid w:val="00285605"/>
    <w:rsid w:val="0028779B"/>
    <w:rsid w:val="00296A7C"/>
    <w:rsid w:val="002A673D"/>
    <w:rsid w:val="002B08CF"/>
    <w:rsid w:val="002B0FA3"/>
    <w:rsid w:val="002C2E45"/>
    <w:rsid w:val="002E1DBF"/>
    <w:rsid w:val="00307305"/>
    <w:rsid w:val="00317853"/>
    <w:rsid w:val="00320043"/>
    <w:rsid w:val="003B3991"/>
    <w:rsid w:val="003B405E"/>
    <w:rsid w:val="003F2F91"/>
    <w:rsid w:val="00421ED7"/>
    <w:rsid w:val="00427C8B"/>
    <w:rsid w:val="004437F9"/>
    <w:rsid w:val="005150E9"/>
    <w:rsid w:val="00535772"/>
    <w:rsid w:val="005A4D14"/>
    <w:rsid w:val="005B71DF"/>
    <w:rsid w:val="005C0852"/>
    <w:rsid w:val="00633E44"/>
    <w:rsid w:val="00670A0C"/>
    <w:rsid w:val="0068661F"/>
    <w:rsid w:val="006A0859"/>
    <w:rsid w:val="006E1388"/>
    <w:rsid w:val="006E1D27"/>
    <w:rsid w:val="006E5C55"/>
    <w:rsid w:val="006E7301"/>
    <w:rsid w:val="00713C62"/>
    <w:rsid w:val="00714100"/>
    <w:rsid w:val="0075156C"/>
    <w:rsid w:val="007B2C0E"/>
    <w:rsid w:val="007B7CD9"/>
    <w:rsid w:val="007F1DC0"/>
    <w:rsid w:val="007F55E2"/>
    <w:rsid w:val="008205BB"/>
    <w:rsid w:val="008216DB"/>
    <w:rsid w:val="008461D1"/>
    <w:rsid w:val="008B550A"/>
    <w:rsid w:val="008D5BA6"/>
    <w:rsid w:val="008F08AB"/>
    <w:rsid w:val="00903FE6"/>
    <w:rsid w:val="00935149"/>
    <w:rsid w:val="0095438A"/>
    <w:rsid w:val="009668CC"/>
    <w:rsid w:val="009A36B3"/>
    <w:rsid w:val="009B2CD0"/>
    <w:rsid w:val="009C1CE7"/>
    <w:rsid w:val="00A25B60"/>
    <w:rsid w:val="00A72FA4"/>
    <w:rsid w:val="00AA55E3"/>
    <w:rsid w:val="00AC1254"/>
    <w:rsid w:val="00AC3717"/>
    <w:rsid w:val="00AC5A0F"/>
    <w:rsid w:val="00AE7CCE"/>
    <w:rsid w:val="00B04332"/>
    <w:rsid w:val="00B1325A"/>
    <w:rsid w:val="00B44424"/>
    <w:rsid w:val="00B46748"/>
    <w:rsid w:val="00B74FA6"/>
    <w:rsid w:val="00B76AF4"/>
    <w:rsid w:val="00BB62C8"/>
    <w:rsid w:val="00BC1E76"/>
    <w:rsid w:val="00BE243C"/>
    <w:rsid w:val="00C0090F"/>
    <w:rsid w:val="00C10322"/>
    <w:rsid w:val="00C2153E"/>
    <w:rsid w:val="00C329B7"/>
    <w:rsid w:val="00C4067E"/>
    <w:rsid w:val="00C408E6"/>
    <w:rsid w:val="00C4440F"/>
    <w:rsid w:val="00C774C6"/>
    <w:rsid w:val="00CA133C"/>
    <w:rsid w:val="00CB3AB3"/>
    <w:rsid w:val="00CD30D1"/>
    <w:rsid w:val="00CF14E4"/>
    <w:rsid w:val="00D435F4"/>
    <w:rsid w:val="00D66120"/>
    <w:rsid w:val="00D909BB"/>
    <w:rsid w:val="00DA0741"/>
    <w:rsid w:val="00DC2578"/>
    <w:rsid w:val="00DE650F"/>
    <w:rsid w:val="00E624FE"/>
    <w:rsid w:val="00E6307F"/>
    <w:rsid w:val="00EB2888"/>
    <w:rsid w:val="00F07DEB"/>
    <w:rsid w:val="00F45EC1"/>
    <w:rsid w:val="00F57BB3"/>
    <w:rsid w:val="00F83384"/>
    <w:rsid w:val="00FB5787"/>
    <w:rsid w:val="00FE2346"/>
    <w:rsid w:val="00FE38DB"/>
    <w:rsid w:val="2825D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0754E"/>
  <w15:chartTrackingRefBased/>
  <w15:docId w15:val="{C4A8E9A4-962B-4DC2-BA74-EBA569ED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3384"/>
    <w:pPr>
      <w:widowControl w:val="0"/>
      <w:spacing w:after="0" w:line="240" w:lineRule="auto"/>
      <w:ind w:left="160"/>
      <w:outlineLvl w:val="0"/>
    </w:pPr>
    <w:rPr>
      <w:rFonts w:ascii="Calibri" w:eastAsia="Calibri" w:hAnsi="Calibri"/>
      <w:b/>
      <w:bCs/>
      <w:sz w:val="32"/>
      <w:szCs w:val="32"/>
    </w:rPr>
  </w:style>
  <w:style w:type="paragraph" w:styleId="Heading2">
    <w:name w:val="heading 2"/>
    <w:basedOn w:val="Normal"/>
    <w:link w:val="Heading2Char"/>
    <w:uiPriority w:val="9"/>
    <w:unhideWhenUsed/>
    <w:qFormat/>
    <w:rsid w:val="00F83384"/>
    <w:pPr>
      <w:widowControl w:val="0"/>
      <w:spacing w:after="0" w:line="240" w:lineRule="auto"/>
      <w:ind w:left="120"/>
      <w:outlineLvl w:val="1"/>
    </w:pPr>
    <w:rPr>
      <w:rFonts w:ascii="Calibri" w:eastAsia="Calibri" w:hAnsi="Calibri"/>
      <w:b/>
      <w:bCs/>
      <w:sz w:val="28"/>
      <w:szCs w:val="28"/>
    </w:rPr>
  </w:style>
  <w:style w:type="paragraph" w:styleId="Heading3">
    <w:name w:val="heading 3"/>
    <w:basedOn w:val="Normal"/>
    <w:link w:val="Heading3Char"/>
    <w:uiPriority w:val="9"/>
    <w:semiHidden/>
    <w:unhideWhenUsed/>
    <w:qFormat/>
    <w:rsid w:val="00F83384"/>
    <w:pPr>
      <w:widowControl w:val="0"/>
      <w:spacing w:after="0" w:line="240" w:lineRule="auto"/>
      <w:ind w:left="25"/>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
    <w:basedOn w:val="Normal"/>
    <w:uiPriority w:val="34"/>
    <w:qFormat/>
    <w:rsid w:val="00C4440F"/>
    <w:pPr>
      <w:ind w:left="720"/>
      <w:contextualSpacing/>
    </w:pPr>
  </w:style>
  <w:style w:type="character" w:styleId="HTMLCode">
    <w:name w:val="HTML Code"/>
    <w:basedOn w:val="DefaultParagraphFont"/>
    <w:uiPriority w:val="99"/>
    <w:unhideWhenUsed/>
    <w:rsid w:val="00C4440F"/>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F83384"/>
    <w:rPr>
      <w:rFonts w:ascii="Calibri" w:eastAsia="Calibri" w:hAnsi="Calibri"/>
      <w:b/>
      <w:bCs/>
      <w:sz w:val="32"/>
      <w:szCs w:val="32"/>
    </w:rPr>
  </w:style>
  <w:style w:type="character" w:customStyle="1" w:styleId="Heading2Char">
    <w:name w:val="Heading 2 Char"/>
    <w:basedOn w:val="DefaultParagraphFont"/>
    <w:link w:val="Heading2"/>
    <w:uiPriority w:val="9"/>
    <w:rsid w:val="00F83384"/>
    <w:rPr>
      <w:rFonts w:ascii="Calibri" w:eastAsia="Calibri" w:hAnsi="Calibri"/>
      <w:b/>
      <w:bCs/>
      <w:sz w:val="28"/>
      <w:szCs w:val="28"/>
    </w:rPr>
  </w:style>
  <w:style w:type="character" w:customStyle="1" w:styleId="Heading3Char">
    <w:name w:val="Heading 3 Char"/>
    <w:basedOn w:val="DefaultParagraphFont"/>
    <w:link w:val="Heading3"/>
    <w:uiPriority w:val="9"/>
    <w:semiHidden/>
    <w:rsid w:val="00F83384"/>
    <w:rPr>
      <w:rFonts w:ascii="Times New Roman" w:eastAsia="Times New Roman" w:hAnsi="Times New Roman"/>
      <w:b/>
      <w:bCs/>
      <w:sz w:val="24"/>
      <w:szCs w:val="24"/>
    </w:rPr>
  </w:style>
  <w:style w:type="paragraph" w:styleId="BodyText">
    <w:name w:val="Body Text"/>
    <w:basedOn w:val="Normal"/>
    <w:link w:val="BodyTextChar"/>
    <w:uiPriority w:val="1"/>
    <w:qFormat/>
    <w:rsid w:val="00F83384"/>
    <w:pPr>
      <w:widowControl w:val="0"/>
      <w:spacing w:after="0" w:line="240" w:lineRule="auto"/>
      <w:ind w:left="100"/>
    </w:pPr>
    <w:rPr>
      <w:rFonts w:ascii="Calibri" w:eastAsia="Calibri" w:hAnsi="Calibri"/>
    </w:rPr>
  </w:style>
  <w:style w:type="character" w:customStyle="1" w:styleId="BodyTextChar">
    <w:name w:val="Body Text Char"/>
    <w:basedOn w:val="DefaultParagraphFont"/>
    <w:link w:val="BodyText"/>
    <w:uiPriority w:val="1"/>
    <w:rsid w:val="00F83384"/>
    <w:rPr>
      <w:rFonts w:ascii="Calibri" w:eastAsia="Calibri" w:hAnsi="Calibri"/>
    </w:rPr>
  </w:style>
  <w:style w:type="paragraph" w:customStyle="1" w:styleId="TableParagraph">
    <w:name w:val="Table Paragraph"/>
    <w:basedOn w:val="Normal"/>
    <w:uiPriority w:val="1"/>
    <w:qFormat/>
    <w:rsid w:val="00F83384"/>
    <w:pPr>
      <w:widowControl w:val="0"/>
      <w:spacing w:after="0" w:line="240" w:lineRule="auto"/>
    </w:pPr>
  </w:style>
  <w:style w:type="character" w:styleId="CommentReference">
    <w:name w:val="annotation reference"/>
    <w:basedOn w:val="DefaultParagraphFont"/>
    <w:uiPriority w:val="99"/>
    <w:semiHidden/>
    <w:unhideWhenUsed/>
    <w:rsid w:val="00F83384"/>
    <w:rPr>
      <w:sz w:val="16"/>
      <w:szCs w:val="16"/>
    </w:rPr>
  </w:style>
  <w:style w:type="paragraph" w:styleId="CommentText">
    <w:name w:val="annotation text"/>
    <w:basedOn w:val="Normal"/>
    <w:link w:val="CommentTextChar"/>
    <w:uiPriority w:val="99"/>
    <w:unhideWhenUsed/>
    <w:rsid w:val="00F83384"/>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F83384"/>
    <w:rPr>
      <w:sz w:val="20"/>
      <w:szCs w:val="20"/>
    </w:rPr>
  </w:style>
  <w:style w:type="paragraph" w:styleId="CommentSubject">
    <w:name w:val="annotation subject"/>
    <w:basedOn w:val="CommentText"/>
    <w:next w:val="CommentText"/>
    <w:link w:val="CommentSubjectChar"/>
    <w:uiPriority w:val="99"/>
    <w:semiHidden/>
    <w:unhideWhenUsed/>
    <w:rsid w:val="00F83384"/>
    <w:rPr>
      <w:b/>
      <w:bCs/>
    </w:rPr>
  </w:style>
  <w:style w:type="character" w:customStyle="1" w:styleId="CommentSubjectChar">
    <w:name w:val="Comment Subject Char"/>
    <w:basedOn w:val="CommentTextChar"/>
    <w:link w:val="CommentSubject"/>
    <w:uiPriority w:val="99"/>
    <w:semiHidden/>
    <w:rsid w:val="00F83384"/>
    <w:rPr>
      <w:b/>
      <w:bCs/>
      <w:sz w:val="20"/>
      <w:szCs w:val="20"/>
    </w:rPr>
  </w:style>
  <w:style w:type="paragraph" w:styleId="Revision">
    <w:name w:val="Revision"/>
    <w:hidden/>
    <w:uiPriority w:val="99"/>
    <w:semiHidden/>
    <w:rsid w:val="00F83384"/>
    <w:pPr>
      <w:spacing w:after="0" w:line="240" w:lineRule="auto"/>
    </w:pPr>
  </w:style>
  <w:style w:type="paragraph" w:styleId="Header">
    <w:name w:val="header"/>
    <w:basedOn w:val="Normal"/>
    <w:link w:val="HeaderChar"/>
    <w:uiPriority w:val="99"/>
    <w:unhideWhenUsed/>
    <w:rsid w:val="00F83384"/>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F83384"/>
  </w:style>
  <w:style w:type="paragraph" w:styleId="Footer">
    <w:name w:val="footer"/>
    <w:basedOn w:val="Normal"/>
    <w:link w:val="FooterChar"/>
    <w:uiPriority w:val="99"/>
    <w:unhideWhenUsed/>
    <w:rsid w:val="00F83384"/>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F83384"/>
  </w:style>
  <w:style w:type="table" w:styleId="GridTable1Light-Accent1">
    <w:name w:val="Grid Table 1 Light Accent 1"/>
    <w:basedOn w:val="TableNormal"/>
    <w:uiPriority w:val="46"/>
    <w:rsid w:val="00F83384"/>
    <w:pPr>
      <w:widowControl w:val="0"/>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F83384"/>
    <w:pPr>
      <w:widowControl w:val="0"/>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F8338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83384"/>
    <w:pPr>
      <w:widowControl w:val="0"/>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F83384"/>
    <w:rPr>
      <w:color w:val="0563C1" w:themeColor="hyperlink"/>
      <w:u w:val="single"/>
    </w:rPr>
  </w:style>
  <w:style w:type="character" w:styleId="UnresolvedMention">
    <w:name w:val="Unresolved Mention"/>
    <w:basedOn w:val="DefaultParagraphFont"/>
    <w:uiPriority w:val="99"/>
    <w:semiHidden/>
    <w:unhideWhenUsed/>
    <w:rsid w:val="00F83384"/>
    <w:rPr>
      <w:color w:val="605E5C"/>
      <w:shd w:val="clear" w:color="auto" w:fill="E1DFDD"/>
    </w:rPr>
  </w:style>
  <w:style w:type="character" w:styleId="FollowedHyperlink">
    <w:name w:val="FollowedHyperlink"/>
    <w:basedOn w:val="DefaultParagraphFont"/>
    <w:uiPriority w:val="99"/>
    <w:semiHidden/>
    <w:unhideWhenUsed/>
    <w:rsid w:val="00F83384"/>
    <w:rPr>
      <w:color w:val="954F72" w:themeColor="followedHyperlink"/>
      <w:u w:val="single"/>
    </w:rPr>
  </w:style>
  <w:style w:type="paragraph" w:customStyle="1" w:styleId="msonormal0">
    <w:name w:val="msonormal"/>
    <w:basedOn w:val="Normal"/>
    <w:rsid w:val="00F833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72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7862">
      <w:bodyDiv w:val="1"/>
      <w:marLeft w:val="0"/>
      <w:marRight w:val="0"/>
      <w:marTop w:val="0"/>
      <w:marBottom w:val="0"/>
      <w:divBdr>
        <w:top w:val="none" w:sz="0" w:space="0" w:color="auto"/>
        <w:left w:val="none" w:sz="0" w:space="0" w:color="auto"/>
        <w:bottom w:val="none" w:sz="0" w:space="0" w:color="auto"/>
        <w:right w:val="none" w:sz="0" w:space="0" w:color="auto"/>
      </w:divBdr>
      <w:divsChild>
        <w:div w:id="4745410">
          <w:marLeft w:val="0"/>
          <w:marRight w:val="0"/>
          <w:marTop w:val="0"/>
          <w:marBottom w:val="0"/>
          <w:divBdr>
            <w:top w:val="none" w:sz="0" w:space="0" w:color="auto"/>
            <w:left w:val="none" w:sz="0" w:space="0" w:color="auto"/>
            <w:bottom w:val="none" w:sz="0" w:space="0" w:color="auto"/>
            <w:right w:val="none" w:sz="0" w:space="0" w:color="auto"/>
          </w:divBdr>
          <w:divsChild>
            <w:div w:id="870873823">
              <w:marLeft w:val="0"/>
              <w:marRight w:val="0"/>
              <w:marTop w:val="0"/>
              <w:marBottom w:val="0"/>
              <w:divBdr>
                <w:top w:val="none" w:sz="0" w:space="0" w:color="auto"/>
                <w:left w:val="none" w:sz="0" w:space="0" w:color="auto"/>
                <w:bottom w:val="none" w:sz="0" w:space="0" w:color="auto"/>
                <w:right w:val="none" w:sz="0" w:space="0" w:color="auto"/>
              </w:divBdr>
            </w:div>
            <w:div w:id="1607883193">
              <w:marLeft w:val="0"/>
              <w:marRight w:val="0"/>
              <w:marTop w:val="0"/>
              <w:marBottom w:val="0"/>
              <w:divBdr>
                <w:top w:val="none" w:sz="0" w:space="0" w:color="auto"/>
                <w:left w:val="none" w:sz="0" w:space="0" w:color="auto"/>
                <w:bottom w:val="none" w:sz="0" w:space="0" w:color="auto"/>
                <w:right w:val="none" w:sz="0" w:space="0" w:color="auto"/>
              </w:divBdr>
            </w:div>
            <w:div w:id="1027755661">
              <w:marLeft w:val="0"/>
              <w:marRight w:val="0"/>
              <w:marTop w:val="0"/>
              <w:marBottom w:val="0"/>
              <w:divBdr>
                <w:top w:val="none" w:sz="0" w:space="0" w:color="auto"/>
                <w:left w:val="none" w:sz="0" w:space="0" w:color="auto"/>
                <w:bottom w:val="none" w:sz="0" w:space="0" w:color="auto"/>
                <w:right w:val="none" w:sz="0" w:space="0" w:color="auto"/>
              </w:divBdr>
            </w:div>
            <w:div w:id="1166822047">
              <w:marLeft w:val="0"/>
              <w:marRight w:val="0"/>
              <w:marTop w:val="0"/>
              <w:marBottom w:val="0"/>
              <w:divBdr>
                <w:top w:val="none" w:sz="0" w:space="0" w:color="auto"/>
                <w:left w:val="none" w:sz="0" w:space="0" w:color="auto"/>
                <w:bottom w:val="none" w:sz="0" w:space="0" w:color="auto"/>
                <w:right w:val="none" w:sz="0" w:space="0" w:color="auto"/>
              </w:divBdr>
            </w:div>
            <w:div w:id="1164974386">
              <w:marLeft w:val="0"/>
              <w:marRight w:val="0"/>
              <w:marTop w:val="0"/>
              <w:marBottom w:val="0"/>
              <w:divBdr>
                <w:top w:val="none" w:sz="0" w:space="0" w:color="auto"/>
                <w:left w:val="none" w:sz="0" w:space="0" w:color="auto"/>
                <w:bottom w:val="none" w:sz="0" w:space="0" w:color="auto"/>
                <w:right w:val="none" w:sz="0" w:space="0" w:color="auto"/>
              </w:divBdr>
            </w:div>
            <w:div w:id="34815527">
              <w:marLeft w:val="0"/>
              <w:marRight w:val="0"/>
              <w:marTop w:val="0"/>
              <w:marBottom w:val="0"/>
              <w:divBdr>
                <w:top w:val="none" w:sz="0" w:space="0" w:color="auto"/>
                <w:left w:val="none" w:sz="0" w:space="0" w:color="auto"/>
                <w:bottom w:val="none" w:sz="0" w:space="0" w:color="auto"/>
                <w:right w:val="none" w:sz="0" w:space="0" w:color="auto"/>
              </w:divBdr>
            </w:div>
          </w:divsChild>
        </w:div>
        <w:div w:id="544869714">
          <w:marLeft w:val="0"/>
          <w:marRight w:val="0"/>
          <w:marTop w:val="0"/>
          <w:marBottom w:val="0"/>
          <w:divBdr>
            <w:top w:val="none" w:sz="0" w:space="0" w:color="auto"/>
            <w:left w:val="none" w:sz="0" w:space="0" w:color="auto"/>
            <w:bottom w:val="none" w:sz="0" w:space="0" w:color="auto"/>
            <w:right w:val="none" w:sz="0" w:space="0" w:color="auto"/>
          </w:divBdr>
          <w:divsChild>
            <w:div w:id="2082749014">
              <w:marLeft w:val="0"/>
              <w:marRight w:val="0"/>
              <w:marTop w:val="0"/>
              <w:marBottom w:val="0"/>
              <w:divBdr>
                <w:top w:val="none" w:sz="0" w:space="0" w:color="auto"/>
                <w:left w:val="none" w:sz="0" w:space="0" w:color="auto"/>
                <w:bottom w:val="none" w:sz="0" w:space="0" w:color="auto"/>
                <w:right w:val="none" w:sz="0" w:space="0" w:color="auto"/>
              </w:divBdr>
            </w:div>
            <w:div w:id="379944513">
              <w:marLeft w:val="0"/>
              <w:marRight w:val="0"/>
              <w:marTop w:val="0"/>
              <w:marBottom w:val="0"/>
              <w:divBdr>
                <w:top w:val="none" w:sz="0" w:space="0" w:color="auto"/>
                <w:left w:val="none" w:sz="0" w:space="0" w:color="auto"/>
                <w:bottom w:val="none" w:sz="0" w:space="0" w:color="auto"/>
                <w:right w:val="none" w:sz="0" w:space="0" w:color="auto"/>
              </w:divBdr>
            </w:div>
            <w:div w:id="213004027">
              <w:marLeft w:val="0"/>
              <w:marRight w:val="0"/>
              <w:marTop w:val="0"/>
              <w:marBottom w:val="0"/>
              <w:divBdr>
                <w:top w:val="none" w:sz="0" w:space="0" w:color="auto"/>
                <w:left w:val="none" w:sz="0" w:space="0" w:color="auto"/>
                <w:bottom w:val="none" w:sz="0" w:space="0" w:color="auto"/>
                <w:right w:val="none" w:sz="0" w:space="0" w:color="auto"/>
              </w:divBdr>
            </w:div>
            <w:div w:id="18533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6100">
      <w:bodyDiv w:val="1"/>
      <w:marLeft w:val="0"/>
      <w:marRight w:val="0"/>
      <w:marTop w:val="0"/>
      <w:marBottom w:val="0"/>
      <w:divBdr>
        <w:top w:val="none" w:sz="0" w:space="0" w:color="auto"/>
        <w:left w:val="none" w:sz="0" w:space="0" w:color="auto"/>
        <w:bottom w:val="none" w:sz="0" w:space="0" w:color="auto"/>
        <w:right w:val="none" w:sz="0" w:space="0" w:color="auto"/>
      </w:divBdr>
      <w:divsChild>
        <w:div w:id="2009480798">
          <w:marLeft w:val="0"/>
          <w:marRight w:val="0"/>
          <w:marTop w:val="0"/>
          <w:marBottom w:val="0"/>
          <w:divBdr>
            <w:top w:val="none" w:sz="0" w:space="0" w:color="auto"/>
            <w:left w:val="none" w:sz="0" w:space="0" w:color="auto"/>
            <w:bottom w:val="none" w:sz="0" w:space="0" w:color="auto"/>
            <w:right w:val="none" w:sz="0" w:space="0" w:color="auto"/>
          </w:divBdr>
          <w:divsChild>
            <w:div w:id="1785537606">
              <w:marLeft w:val="0"/>
              <w:marRight w:val="0"/>
              <w:marTop w:val="0"/>
              <w:marBottom w:val="0"/>
              <w:divBdr>
                <w:top w:val="none" w:sz="0" w:space="0" w:color="auto"/>
                <w:left w:val="none" w:sz="0" w:space="0" w:color="auto"/>
                <w:bottom w:val="none" w:sz="0" w:space="0" w:color="auto"/>
                <w:right w:val="none" w:sz="0" w:space="0" w:color="auto"/>
              </w:divBdr>
            </w:div>
            <w:div w:id="1692224404">
              <w:marLeft w:val="0"/>
              <w:marRight w:val="0"/>
              <w:marTop w:val="0"/>
              <w:marBottom w:val="0"/>
              <w:divBdr>
                <w:top w:val="none" w:sz="0" w:space="0" w:color="auto"/>
                <w:left w:val="none" w:sz="0" w:space="0" w:color="auto"/>
                <w:bottom w:val="none" w:sz="0" w:space="0" w:color="auto"/>
                <w:right w:val="none" w:sz="0" w:space="0" w:color="auto"/>
              </w:divBdr>
            </w:div>
            <w:div w:id="237517770">
              <w:marLeft w:val="0"/>
              <w:marRight w:val="0"/>
              <w:marTop w:val="0"/>
              <w:marBottom w:val="0"/>
              <w:divBdr>
                <w:top w:val="none" w:sz="0" w:space="0" w:color="auto"/>
                <w:left w:val="none" w:sz="0" w:space="0" w:color="auto"/>
                <w:bottom w:val="none" w:sz="0" w:space="0" w:color="auto"/>
                <w:right w:val="none" w:sz="0" w:space="0" w:color="auto"/>
              </w:divBdr>
            </w:div>
            <w:div w:id="630019557">
              <w:marLeft w:val="0"/>
              <w:marRight w:val="0"/>
              <w:marTop w:val="0"/>
              <w:marBottom w:val="0"/>
              <w:divBdr>
                <w:top w:val="none" w:sz="0" w:space="0" w:color="auto"/>
                <w:left w:val="none" w:sz="0" w:space="0" w:color="auto"/>
                <w:bottom w:val="none" w:sz="0" w:space="0" w:color="auto"/>
                <w:right w:val="none" w:sz="0" w:space="0" w:color="auto"/>
              </w:divBdr>
            </w:div>
            <w:div w:id="1095712675">
              <w:marLeft w:val="0"/>
              <w:marRight w:val="0"/>
              <w:marTop w:val="0"/>
              <w:marBottom w:val="0"/>
              <w:divBdr>
                <w:top w:val="none" w:sz="0" w:space="0" w:color="auto"/>
                <w:left w:val="none" w:sz="0" w:space="0" w:color="auto"/>
                <w:bottom w:val="none" w:sz="0" w:space="0" w:color="auto"/>
                <w:right w:val="none" w:sz="0" w:space="0" w:color="auto"/>
              </w:divBdr>
            </w:div>
            <w:div w:id="243730729">
              <w:marLeft w:val="0"/>
              <w:marRight w:val="0"/>
              <w:marTop w:val="0"/>
              <w:marBottom w:val="0"/>
              <w:divBdr>
                <w:top w:val="none" w:sz="0" w:space="0" w:color="auto"/>
                <w:left w:val="none" w:sz="0" w:space="0" w:color="auto"/>
                <w:bottom w:val="none" w:sz="0" w:space="0" w:color="auto"/>
                <w:right w:val="none" w:sz="0" w:space="0" w:color="auto"/>
              </w:divBdr>
            </w:div>
          </w:divsChild>
        </w:div>
        <w:div w:id="382146121">
          <w:marLeft w:val="0"/>
          <w:marRight w:val="0"/>
          <w:marTop w:val="0"/>
          <w:marBottom w:val="0"/>
          <w:divBdr>
            <w:top w:val="none" w:sz="0" w:space="0" w:color="auto"/>
            <w:left w:val="none" w:sz="0" w:space="0" w:color="auto"/>
            <w:bottom w:val="none" w:sz="0" w:space="0" w:color="auto"/>
            <w:right w:val="none" w:sz="0" w:space="0" w:color="auto"/>
          </w:divBdr>
          <w:divsChild>
            <w:div w:id="374276968">
              <w:marLeft w:val="0"/>
              <w:marRight w:val="0"/>
              <w:marTop w:val="0"/>
              <w:marBottom w:val="0"/>
              <w:divBdr>
                <w:top w:val="none" w:sz="0" w:space="0" w:color="auto"/>
                <w:left w:val="none" w:sz="0" w:space="0" w:color="auto"/>
                <w:bottom w:val="none" w:sz="0" w:space="0" w:color="auto"/>
                <w:right w:val="none" w:sz="0" w:space="0" w:color="auto"/>
              </w:divBdr>
            </w:div>
            <w:div w:id="446777544">
              <w:marLeft w:val="0"/>
              <w:marRight w:val="0"/>
              <w:marTop w:val="0"/>
              <w:marBottom w:val="0"/>
              <w:divBdr>
                <w:top w:val="none" w:sz="0" w:space="0" w:color="auto"/>
                <w:left w:val="none" w:sz="0" w:space="0" w:color="auto"/>
                <w:bottom w:val="none" w:sz="0" w:space="0" w:color="auto"/>
                <w:right w:val="none" w:sz="0" w:space="0" w:color="auto"/>
              </w:divBdr>
            </w:div>
            <w:div w:id="1910309891">
              <w:marLeft w:val="0"/>
              <w:marRight w:val="0"/>
              <w:marTop w:val="0"/>
              <w:marBottom w:val="0"/>
              <w:divBdr>
                <w:top w:val="none" w:sz="0" w:space="0" w:color="auto"/>
                <w:left w:val="none" w:sz="0" w:space="0" w:color="auto"/>
                <w:bottom w:val="none" w:sz="0" w:space="0" w:color="auto"/>
                <w:right w:val="none" w:sz="0" w:space="0" w:color="auto"/>
              </w:divBdr>
            </w:div>
            <w:div w:id="194028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2350">
      <w:bodyDiv w:val="1"/>
      <w:marLeft w:val="0"/>
      <w:marRight w:val="0"/>
      <w:marTop w:val="0"/>
      <w:marBottom w:val="0"/>
      <w:divBdr>
        <w:top w:val="none" w:sz="0" w:space="0" w:color="auto"/>
        <w:left w:val="none" w:sz="0" w:space="0" w:color="auto"/>
        <w:bottom w:val="none" w:sz="0" w:space="0" w:color="auto"/>
        <w:right w:val="none" w:sz="0" w:space="0" w:color="auto"/>
      </w:divBdr>
      <w:divsChild>
        <w:div w:id="415399812">
          <w:marLeft w:val="0"/>
          <w:marRight w:val="0"/>
          <w:marTop w:val="0"/>
          <w:marBottom w:val="0"/>
          <w:divBdr>
            <w:top w:val="none" w:sz="0" w:space="0" w:color="auto"/>
            <w:left w:val="none" w:sz="0" w:space="0" w:color="auto"/>
            <w:bottom w:val="none" w:sz="0" w:space="0" w:color="auto"/>
            <w:right w:val="none" w:sz="0" w:space="0" w:color="auto"/>
          </w:divBdr>
          <w:divsChild>
            <w:div w:id="1352146293">
              <w:marLeft w:val="0"/>
              <w:marRight w:val="0"/>
              <w:marTop w:val="0"/>
              <w:marBottom w:val="0"/>
              <w:divBdr>
                <w:top w:val="none" w:sz="0" w:space="0" w:color="auto"/>
                <w:left w:val="none" w:sz="0" w:space="0" w:color="auto"/>
                <w:bottom w:val="none" w:sz="0" w:space="0" w:color="auto"/>
                <w:right w:val="none" w:sz="0" w:space="0" w:color="auto"/>
              </w:divBdr>
            </w:div>
            <w:div w:id="1089429903">
              <w:marLeft w:val="0"/>
              <w:marRight w:val="0"/>
              <w:marTop w:val="0"/>
              <w:marBottom w:val="0"/>
              <w:divBdr>
                <w:top w:val="none" w:sz="0" w:space="0" w:color="auto"/>
                <w:left w:val="none" w:sz="0" w:space="0" w:color="auto"/>
                <w:bottom w:val="none" w:sz="0" w:space="0" w:color="auto"/>
                <w:right w:val="none" w:sz="0" w:space="0" w:color="auto"/>
              </w:divBdr>
            </w:div>
            <w:div w:id="1485901295">
              <w:marLeft w:val="0"/>
              <w:marRight w:val="0"/>
              <w:marTop w:val="0"/>
              <w:marBottom w:val="0"/>
              <w:divBdr>
                <w:top w:val="none" w:sz="0" w:space="0" w:color="auto"/>
                <w:left w:val="none" w:sz="0" w:space="0" w:color="auto"/>
                <w:bottom w:val="none" w:sz="0" w:space="0" w:color="auto"/>
                <w:right w:val="none" w:sz="0" w:space="0" w:color="auto"/>
              </w:divBdr>
            </w:div>
            <w:div w:id="1195733287">
              <w:marLeft w:val="0"/>
              <w:marRight w:val="0"/>
              <w:marTop w:val="0"/>
              <w:marBottom w:val="0"/>
              <w:divBdr>
                <w:top w:val="none" w:sz="0" w:space="0" w:color="auto"/>
                <w:left w:val="none" w:sz="0" w:space="0" w:color="auto"/>
                <w:bottom w:val="none" w:sz="0" w:space="0" w:color="auto"/>
                <w:right w:val="none" w:sz="0" w:space="0" w:color="auto"/>
              </w:divBdr>
            </w:div>
            <w:div w:id="159926662">
              <w:marLeft w:val="0"/>
              <w:marRight w:val="0"/>
              <w:marTop w:val="0"/>
              <w:marBottom w:val="0"/>
              <w:divBdr>
                <w:top w:val="none" w:sz="0" w:space="0" w:color="auto"/>
                <w:left w:val="none" w:sz="0" w:space="0" w:color="auto"/>
                <w:bottom w:val="none" w:sz="0" w:space="0" w:color="auto"/>
                <w:right w:val="none" w:sz="0" w:space="0" w:color="auto"/>
              </w:divBdr>
            </w:div>
            <w:div w:id="1715614541">
              <w:marLeft w:val="0"/>
              <w:marRight w:val="0"/>
              <w:marTop w:val="0"/>
              <w:marBottom w:val="0"/>
              <w:divBdr>
                <w:top w:val="none" w:sz="0" w:space="0" w:color="auto"/>
                <w:left w:val="none" w:sz="0" w:space="0" w:color="auto"/>
                <w:bottom w:val="none" w:sz="0" w:space="0" w:color="auto"/>
                <w:right w:val="none" w:sz="0" w:space="0" w:color="auto"/>
              </w:divBdr>
            </w:div>
          </w:divsChild>
        </w:div>
        <w:div w:id="584336518">
          <w:marLeft w:val="0"/>
          <w:marRight w:val="0"/>
          <w:marTop w:val="0"/>
          <w:marBottom w:val="0"/>
          <w:divBdr>
            <w:top w:val="none" w:sz="0" w:space="0" w:color="auto"/>
            <w:left w:val="none" w:sz="0" w:space="0" w:color="auto"/>
            <w:bottom w:val="none" w:sz="0" w:space="0" w:color="auto"/>
            <w:right w:val="none" w:sz="0" w:space="0" w:color="auto"/>
          </w:divBdr>
          <w:divsChild>
            <w:div w:id="245303654">
              <w:marLeft w:val="0"/>
              <w:marRight w:val="0"/>
              <w:marTop w:val="0"/>
              <w:marBottom w:val="0"/>
              <w:divBdr>
                <w:top w:val="none" w:sz="0" w:space="0" w:color="auto"/>
                <w:left w:val="none" w:sz="0" w:space="0" w:color="auto"/>
                <w:bottom w:val="none" w:sz="0" w:space="0" w:color="auto"/>
                <w:right w:val="none" w:sz="0" w:space="0" w:color="auto"/>
              </w:divBdr>
            </w:div>
            <w:div w:id="1505242696">
              <w:marLeft w:val="0"/>
              <w:marRight w:val="0"/>
              <w:marTop w:val="0"/>
              <w:marBottom w:val="0"/>
              <w:divBdr>
                <w:top w:val="none" w:sz="0" w:space="0" w:color="auto"/>
                <w:left w:val="none" w:sz="0" w:space="0" w:color="auto"/>
                <w:bottom w:val="none" w:sz="0" w:space="0" w:color="auto"/>
                <w:right w:val="none" w:sz="0" w:space="0" w:color="auto"/>
              </w:divBdr>
            </w:div>
            <w:div w:id="1324120298">
              <w:marLeft w:val="0"/>
              <w:marRight w:val="0"/>
              <w:marTop w:val="0"/>
              <w:marBottom w:val="0"/>
              <w:divBdr>
                <w:top w:val="none" w:sz="0" w:space="0" w:color="auto"/>
                <w:left w:val="none" w:sz="0" w:space="0" w:color="auto"/>
                <w:bottom w:val="none" w:sz="0" w:space="0" w:color="auto"/>
                <w:right w:val="none" w:sz="0" w:space="0" w:color="auto"/>
              </w:divBdr>
            </w:div>
            <w:div w:id="11434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68469">
      <w:bodyDiv w:val="1"/>
      <w:marLeft w:val="0"/>
      <w:marRight w:val="0"/>
      <w:marTop w:val="0"/>
      <w:marBottom w:val="0"/>
      <w:divBdr>
        <w:top w:val="none" w:sz="0" w:space="0" w:color="auto"/>
        <w:left w:val="none" w:sz="0" w:space="0" w:color="auto"/>
        <w:bottom w:val="none" w:sz="0" w:space="0" w:color="auto"/>
        <w:right w:val="none" w:sz="0" w:space="0" w:color="auto"/>
      </w:divBdr>
      <w:divsChild>
        <w:div w:id="1065836407">
          <w:marLeft w:val="0"/>
          <w:marRight w:val="0"/>
          <w:marTop w:val="0"/>
          <w:marBottom w:val="0"/>
          <w:divBdr>
            <w:top w:val="none" w:sz="0" w:space="0" w:color="auto"/>
            <w:left w:val="none" w:sz="0" w:space="0" w:color="auto"/>
            <w:bottom w:val="none" w:sz="0" w:space="0" w:color="auto"/>
            <w:right w:val="none" w:sz="0" w:space="0" w:color="auto"/>
          </w:divBdr>
          <w:divsChild>
            <w:div w:id="1837988145">
              <w:marLeft w:val="0"/>
              <w:marRight w:val="0"/>
              <w:marTop w:val="0"/>
              <w:marBottom w:val="0"/>
              <w:divBdr>
                <w:top w:val="none" w:sz="0" w:space="0" w:color="auto"/>
                <w:left w:val="none" w:sz="0" w:space="0" w:color="auto"/>
                <w:bottom w:val="none" w:sz="0" w:space="0" w:color="auto"/>
                <w:right w:val="none" w:sz="0" w:space="0" w:color="auto"/>
              </w:divBdr>
            </w:div>
            <w:div w:id="1447583164">
              <w:marLeft w:val="0"/>
              <w:marRight w:val="0"/>
              <w:marTop w:val="0"/>
              <w:marBottom w:val="0"/>
              <w:divBdr>
                <w:top w:val="none" w:sz="0" w:space="0" w:color="auto"/>
                <w:left w:val="none" w:sz="0" w:space="0" w:color="auto"/>
                <w:bottom w:val="none" w:sz="0" w:space="0" w:color="auto"/>
                <w:right w:val="none" w:sz="0" w:space="0" w:color="auto"/>
              </w:divBdr>
            </w:div>
            <w:div w:id="330524730">
              <w:marLeft w:val="0"/>
              <w:marRight w:val="0"/>
              <w:marTop w:val="0"/>
              <w:marBottom w:val="0"/>
              <w:divBdr>
                <w:top w:val="none" w:sz="0" w:space="0" w:color="auto"/>
                <w:left w:val="none" w:sz="0" w:space="0" w:color="auto"/>
                <w:bottom w:val="none" w:sz="0" w:space="0" w:color="auto"/>
                <w:right w:val="none" w:sz="0" w:space="0" w:color="auto"/>
              </w:divBdr>
            </w:div>
            <w:div w:id="1551838010">
              <w:marLeft w:val="0"/>
              <w:marRight w:val="0"/>
              <w:marTop w:val="0"/>
              <w:marBottom w:val="0"/>
              <w:divBdr>
                <w:top w:val="none" w:sz="0" w:space="0" w:color="auto"/>
                <w:left w:val="none" w:sz="0" w:space="0" w:color="auto"/>
                <w:bottom w:val="none" w:sz="0" w:space="0" w:color="auto"/>
                <w:right w:val="none" w:sz="0" w:space="0" w:color="auto"/>
              </w:divBdr>
            </w:div>
            <w:div w:id="1853302094">
              <w:marLeft w:val="0"/>
              <w:marRight w:val="0"/>
              <w:marTop w:val="0"/>
              <w:marBottom w:val="0"/>
              <w:divBdr>
                <w:top w:val="none" w:sz="0" w:space="0" w:color="auto"/>
                <w:left w:val="none" w:sz="0" w:space="0" w:color="auto"/>
                <w:bottom w:val="none" w:sz="0" w:space="0" w:color="auto"/>
                <w:right w:val="none" w:sz="0" w:space="0" w:color="auto"/>
              </w:divBdr>
            </w:div>
            <w:div w:id="56904140">
              <w:marLeft w:val="0"/>
              <w:marRight w:val="0"/>
              <w:marTop w:val="0"/>
              <w:marBottom w:val="0"/>
              <w:divBdr>
                <w:top w:val="none" w:sz="0" w:space="0" w:color="auto"/>
                <w:left w:val="none" w:sz="0" w:space="0" w:color="auto"/>
                <w:bottom w:val="none" w:sz="0" w:space="0" w:color="auto"/>
                <w:right w:val="none" w:sz="0" w:space="0" w:color="auto"/>
              </w:divBdr>
            </w:div>
          </w:divsChild>
        </w:div>
        <w:div w:id="1326282700">
          <w:marLeft w:val="0"/>
          <w:marRight w:val="0"/>
          <w:marTop w:val="0"/>
          <w:marBottom w:val="0"/>
          <w:divBdr>
            <w:top w:val="none" w:sz="0" w:space="0" w:color="auto"/>
            <w:left w:val="none" w:sz="0" w:space="0" w:color="auto"/>
            <w:bottom w:val="none" w:sz="0" w:space="0" w:color="auto"/>
            <w:right w:val="none" w:sz="0" w:space="0" w:color="auto"/>
          </w:divBdr>
          <w:divsChild>
            <w:div w:id="1891184366">
              <w:marLeft w:val="0"/>
              <w:marRight w:val="0"/>
              <w:marTop w:val="0"/>
              <w:marBottom w:val="0"/>
              <w:divBdr>
                <w:top w:val="none" w:sz="0" w:space="0" w:color="auto"/>
                <w:left w:val="none" w:sz="0" w:space="0" w:color="auto"/>
                <w:bottom w:val="none" w:sz="0" w:space="0" w:color="auto"/>
                <w:right w:val="none" w:sz="0" w:space="0" w:color="auto"/>
              </w:divBdr>
            </w:div>
            <w:div w:id="577321988">
              <w:marLeft w:val="0"/>
              <w:marRight w:val="0"/>
              <w:marTop w:val="0"/>
              <w:marBottom w:val="0"/>
              <w:divBdr>
                <w:top w:val="none" w:sz="0" w:space="0" w:color="auto"/>
                <w:left w:val="none" w:sz="0" w:space="0" w:color="auto"/>
                <w:bottom w:val="none" w:sz="0" w:space="0" w:color="auto"/>
                <w:right w:val="none" w:sz="0" w:space="0" w:color="auto"/>
              </w:divBdr>
            </w:div>
            <w:div w:id="579364254">
              <w:marLeft w:val="0"/>
              <w:marRight w:val="0"/>
              <w:marTop w:val="0"/>
              <w:marBottom w:val="0"/>
              <w:divBdr>
                <w:top w:val="none" w:sz="0" w:space="0" w:color="auto"/>
                <w:left w:val="none" w:sz="0" w:space="0" w:color="auto"/>
                <w:bottom w:val="none" w:sz="0" w:space="0" w:color="auto"/>
                <w:right w:val="none" w:sz="0" w:space="0" w:color="auto"/>
              </w:divBdr>
            </w:div>
            <w:div w:id="213748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55FFFC9D384E41853487DD6573D9A9" ma:contentTypeVersion="15" ma:contentTypeDescription="Create a new document." ma:contentTypeScope="" ma:versionID="0a4fe62b72cc63eface702554eb6c79e">
  <xsd:schema xmlns:xsd="http://www.w3.org/2001/XMLSchema" xmlns:xs="http://www.w3.org/2001/XMLSchema" xmlns:p="http://schemas.microsoft.com/office/2006/metadata/properties" xmlns:ns2="e9453180-10b4-40b5-8911-5dd21c9879a3" xmlns:ns3="aa73bb71-a334-4f5c-b65f-05993128c900" targetNamespace="http://schemas.microsoft.com/office/2006/metadata/properties" ma:root="true" ma:fieldsID="93ad603f842fdd3cc746e18db9efaa97" ns2:_="" ns3:_="">
    <xsd:import namespace="e9453180-10b4-40b5-8911-5dd21c9879a3"/>
    <xsd:import namespace="aa73bb71-a334-4f5c-b65f-05993128c9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53180-10b4-40b5-8911-5dd21c987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8548cd-cb9c-4d42-ae2d-249dfe4f4c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73bb71-a334-4f5c-b65f-05993128c9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524050-390b-4eda-ae7a-8803a400eeb7}" ma:internalName="TaxCatchAll" ma:showField="CatchAllData" ma:web="aa73bb71-a334-4f5c-b65f-05993128c9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a73bb71-a334-4f5c-b65f-05993128c900" xsi:nil="true"/>
    <lcf76f155ced4ddcb4097134ff3c332f xmlns="e9453180-10b4-40b5-8911-5dd21c9879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E01D61-B570-4A5A-B18B-4B3AA6208E34}">
  <ds:schemaRefs>
    <ds:schemaRef ds:uri="http://schemas.microsoft.com/sharepoint/v3/contenttype/forms"/>
  </ds:schemaRefs>
</ds:datastoreItem>
</file>

<file path=customXml/itemProps2.xml><?xml version="1.0" encoding="utf-8"?>
<ds:datastoreItem xmlns:ds="http://schemas.openxmlformats.org/officeDocument/2006/customXml" ds:itemID="{F08F576A-630A-4CE7-9278-5CAE6FCEA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53180-10b4-40b5-8911-5dd21c9879a3"/>
    <ds:schemaRef ds:uri="aa73bb71-a334-4f5c-b65f-05993128c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2DBB9-F84C-4ECB-9D62-6EA3F81B62C3}">
  <ds:schemaRefs>
    <ds:schemaRef ds:uri="http://schemas.microsoft.com/office/2006/metadata/properties"/>
    <ds:schemaRef ds:uri="http://schemas.microsoft.com/office/infopath/2007/PartnerControls"/>
    <ds:schemaRef ds:uri="aa73bb71-a334-4f5c-b65f-05993128c900"/>
    <ds:schemaRef ds:uri="e9453180-10b4-40b5-8911-5dd21c9879a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1601</Words>
  <Characters>9129</Characters>
  <Application>Microsoft Office Word</Application>
  <DocSecurity>0</DocSecurity>
  <Lines>76</Lines>
  <Paragraphs>21</Paragraphs>
  <ScaleCrop>false</ScaleCrop>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Muzzy</dc:creator>
  <cp:keywords/>
  <dc:description/>
  <cp:lastModifiedBy>Greg Turk</cp:lastModifiedBy>
  <cp:revision>2</cp:revision>
  <dcterms:created xsi:type="dcterms:W3CDTF">2025-06-16T12:34:00Z</dcterms:created>
  <dcterms:modified xsi:type="dcterms:W3CDTF">2025-06-16T12:34:00Z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0x0101006A55FFFC9D384E41853487DD6573D9A9</vt:lpwstr>
  </property>
  <property fmtid="{D5CDD505-2E9C-101B-9397-08002B2CF9AE}" pid="3" name="MediaServiceImageTags">
    <vt:lpwstr/>
  </property>
</Properties>
</file>